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b/>
          <w:sz w:val="28"/>
          <w:szCs w:val="28"/>
        </w:rPr>
      </w:pPr>
      <w:r>
        <w:rPr>
          <w:rFonts w:hint="eastAsia" w:ascii="宋体" w:hAnsi="宋体"/>
          <w:b/>
          <w:sz w:val="28"/>
          <w:szCs w:val="28"/>
        </w:rPr>
        <w:t>《软籽石榴土肥水管理规</w:t>
      </w:r>
      <w:r>
        <w:rPr>
          <w:rFonts w:hint="eastAsia" w:ascii="宋体" w:hAnsi="宋体"/>
          <w:b/>
          <w:sz w:val="28"/>
          <w:szCs w:val="28"/>
          <w:lang w:eastAsia="zh-CN"/>
        </w:rPr>
        <w:t>范</w:t>
      </w:r>
      <w:r>
        <w:rPr>
          <w:rFonts w:hint="eastAsia" w:ascii="宋体" w:hAnsi="宋体"/>
          <w:b/>
          <w:sz w:val="28"/>
          <w:szCs w:val="28"/>
        </w:rPr>
        <w:t>》编制说明</w:t>
      </w:r>
    </w:p>
    <w:p>
      <w:pPr>
        <w:ind w:firstLine="480" w:firstLineChars="200"/>
        <w:jc w:val="center"/>
        <w:rPr>
          <w:sz w:val="24"/>
          <w:szCs w:val="24"/>
        </w:rPr>
      </w:pPr>
      <w:r>
        <w:rPr>
          <w:sz w:val="24"/>
          <w:szCs w:val="24"/>
        </w:rPr>
        <w:t>（征求意见稿）</w:t>
      </w:r>
    </w:p>
    <w:p>
      <w:pPr>
        <w:pStyle w:val="7"/>
        <w:spacing w:before="156" w:after="156"/>
        <w:ind w:left="0"/>
        <w:rPr>
          <w:sz w:val="24"/>
          <w:szCs w:val="24"/>
        </w:rPr>
      </w:pPr>
      <w:r>
        <w:rPr>
          <w:rFonts w:hint="eastAsia" w:hAnsi="黑体"/>
          <w:sz w:val="24"/>
          <w:szCs w:val="24"/>
        </w:rPr>
        <w:t>一、立项背景及任务来源</w:t>
      </w:r>
      <w:bookmarkStart w:id="0" w:name="_GoBack"/>
      <w:bookmarkEnd w:id="0"/>
    </w:p>
    <w:p>
      <w:pPr>
        <w:pStyle w:val="7"/>
        <w:spacing w:before="156" w:after="156"/>
        <w:ind w:left="0"/>
        <w:rPr>
          <w:sz w:val="24"/>
          <w:szCs w:val="24"/>
        </w:rPr>
      </w:pPr>
      <w:r>
        <w:rPr>
          <w:rFonts w:hint="eastAsia" w:hAnsi="黑体"/>
          <w:sz w:val="24"/>
          <w:szCs w:val="24"/>
        </w:rPr>
        <w:t>（一）立项背景</w:t>
      </w:r>
    </w:p>
    <w:p>
      <w:pPr>
        <w:pStyle w:val="6"/>
        <w:ind w:firstLine="480"/>
        <w:rPr>
          <w:sz w:val="24"/>
          <w:szCs w:val="24"/>
        </w:rPr>
      </w:pPr>
      <w:r>
        <w:rPr>
          <w:rFonts w:hint="eastAsia" w:hAnsi="宋体"/>
          <w:sz w:val="24"/>
          <w:szCs w:val="24"/>
        </w:rPr>
        <w:t>为全面贯彻党的十九大精神和新标准化法要求，落实《中共中央国务院关于开展质量提升行动的指导意见》和《</w:t>
      </w:r>
      <w:r>
        <w:rPr>
          <w:rFonts w:hint="eastAsia"/>
          <w:sz w:val="24"/>
          <w:szCs w:val="24"/>
        </w:rPr>
        <w:t>2019年全国标准化工作要点》，以习近平新时代中国特色社会主义思想为指导，围绕“五位一体”总体布局和“四个全面”战略布局，依托我市现有软籽石榴产业6000余公顷，着力推进软籽石榴产业相关标准化体系建设。</w:t>
      </w:r>
    </w:p>
    <w:p>
      <w:pPr>
        <w:pStyle w:val="7"/>
        <w:spacing w:before="156" w:after="156"/>
        <w:ind w:left="0"/>
        <w:rPr>
          <w:sz w:val="24"/>
          <w:szCs w:val="24"/>
        </w:rPr>
      </w:pPr>
      <w:r>
        <w:rPr>
          <w:rFonts w:hint="eastAsia" w:hAnsi="黑体"/>
          <w:sz w:val="24"/>
          <w:szCs w:val="24"/>
        </w:rPr>
        <w:t>（二）任务来源</w:t>
      </w:r>
    </w:p>
    <w:p>
      <w:pPr>
        <w:pStyle w:val="6"/>
        <w:ind w:firstLine="480"/>
        <w:rPr>
          <w:sz w:val="24"/>
          <w:szCs w:val="24"/>
        </w:rPr>
      </w:pPr>
      <w:r>
        <w:rPr>
          <w:rFonts w:hint="eastAsia" w:hAnsi="宋体"/>
          <w:sz w:val="24"/>
          <w:szCs w:val="24"/>
        </w:rPr>
        <w:t>为推动盘州市软籽石榴产业高质量发展，</w:t>
      </w:r>
      <w:r>
        <w:rPr>
          <w:rFonts w:hint="eastAsia"/>
          <w:sz w:val="24"/>
          <w:szCs w:val="24"/>
        </w:rPr>
        <w:t>2019年8月，</w:t>
      </w:r>
      <w:r>
        <w:rPr>
          <w:rFonts w:hint="eastAsia" w:hAnsi="宋体"/>
          <w:sz w:val="24"/>
          <w:szCs w:val="24"/>
        </w:rPr>
        <w:t>由盘州市农业农村局、盘州市市场监督管理局和贵州省盘州景农开发投资有限责任公司筹备</w:t>
      </w:r>
      <w:r>
        <w:rPr>
          <w:rFonts w:hint="eastAsia"/>
          <w:sz w:val="24"/>
          <w:szCs w:val="24"/>
        </w:rPr>
        <w:t>“</w:t>
      </w:r>
      <w:r>
        <w:rPr>
          <w:rFonts w:hint="eastAsia" w:hAnsi="宋体"/>
          <w:sz w:val="24"/>
          <w:szCs w:val="24"/>
        </w:rPr>
        <w:t>盘州市软籽石榴产业标准化示范区</w:t>
      </w:r>
      <w:r>
        <w:rPr>
          <w:rFonts w:hint="eastAsia" w:ascii="Times New Roman"/>
          <w:sz w:val="24"/>
          <w:szCs w:val="24"/>
        </w:rPr>
        <w:t>”</w:t>
      </w:r>
      <w:r>
        <w:rPr>
          <w:rFonts w:hint="eastAsia" w:hAnsi="宋体"/>
          <w:sz w:val="24"/>
          <w:szCs w:val="24"/>
        </w:rPr>
        <w:t>项目申报申报资料。2019年10月11日，贵州省市场监督管理局下达了《省市场监管局关于下达2020年省级农业标准化示范项目的通知》（黔市监标函〔2019〕48号），同意创建</w:t>
      </w:r>
      <w:r>
        <w:rPr>
          <w:rFonts w:hint="eastAsia" w:ascii="Times New Roman"/>
          <w:sz w:val="24"/>
          <w:szCs w:val="24"/>
        </w:rPr>
        <w:t>“</w:t>
      </w:r>
      <w:r>
        <w:rPr>
          <w:rFonts w:hint="eastAsia" w:hAnsi="宋体"/>
          <w:sz w:val="24"/>
          <w:szCs w:val="24"/>
        </w:rPr>
        <w:t>盘州市软籽石榴产业标准化示范区</w:t>
      </w:r>
      <w:r>
        <w:rPr>
          <w:rFonts w:hint="eastAsia" w:ascii="Times New Roman"/>
          <w:sz w:val="24"/>
          <w:szCs w:val="24"/>
        </w:rPr>
        <w:t>”</w:t>
      </w:r>
      <w:r>
        <w:rPr>
          <w:rFonts w:hint="eastAsia" w:hAnsi="宋体"/>
          <w:sz w:val="24"/>
          <w:szCs w:val="24"/>
        </w:rPr>
        <w:t>项目。为扩大</w:t>
      </w:r>
      <w:r>
        <w:rPr>
          <w:rFonts w:hint="eastAsia" w:ascii="Times New Roman"/>
          <w:sz w:val="24"/>
          <w:szCs w:val="24"/>
        </w:rPr>
        <w:t>“</w:t>
      </w:r>
      <w:r>
        <w:rPr>
          <w:rFonts w:hint="eastAsia" w:hAnsi="宋体"/>
          <w:sz w:val="24"/>
          <w:szCs w:val="24"/>
        </w:rPr>
        <w:t>盘州市软籽石榴产业标准化示范区</w:t>
      </w:r>
      <w:r>
        <w:rPr>
          <w:rFonts w:hint="eastAsia" w:ascii="Times New Roman"/>
          <w:sz w:val="24"/>
          <w:szCs w:val="24"/>
        </w:rPr>
        <w:t>”</w:t>
      </w:r>
      <w:r>
        <w:rPr>
          <w:rFonts w:hint="eastAsia" w:hAnsi="宋体"/>
          <w:sz w:val="24"/>
          <w:szCs w:val="24"/>
        </w:rPr>
        <w:t>项目创建成效，充分发挥标准引领农业产业高质量发展的作用，2020年1月，由盘州市农业农村局、盘州市市场监督管理局共同向六盘水市农业农村局提出《盘州市软籽石榴生产技术标准体系》立项评估，经六盘水市农业农村局组织专家评估后，认为《盘州市软籽石榴生产技术标准体系》的编制符合贵州省农业产业发展政策和需要，建议结合六盘水市软籽石榴产业需要编制为六盘水市的地方标准体系发布，并结合软籽石榴土肥水管理需要，将该标准名称改为《软籽石榴土肥水管理规程》。2020年9月16日，《省市场监管局关于同意立项制定〈地理标志产品</w:t>
      </w:r>
      <w:r>
        <w:rPr>
          <w:rFonts w:hint="eastAsia"/>
          <w:sz w:val="24"/>
          <w:szCs w:val="24"/>
        </w:rPr>
        <w:t xml:space="preserve"> </w:t>
      </w:r>
      <w:r>
        <w:rPr>
          <w:rFonts w:hint="eastAsia" w:hAnsi="宋体"/>
          <w:sz w:val="24"/>
          <w:szCs w:val="24"/>
        </w:rPr>
        <w:t>水城猕猴桃〉等</w:t>
      </w:r>
      <w:r>
        <w:rPr>
          <w:rFonts w:hint="eastAsia"/>
          <w:sz w:val="24"/>
          <w:szCs w:val="24"/>
        </w:rPr>
        <w:t>2</w:t>
      </w:r>
      <w:r>
        <w:rPr>
          <w:rFonts w:hint="eastAsia"/>
          <w:sz w:val="24"/>
          <w:szCs w:val="24"/>
          <w:lang w:val="en-US" w:eastAsia="zh-CN"/>
        </w:rPr>
        <w:t>0</w:t>
      </w:r>
      <w:r>
        <w:rPr>
          <w:rFonts w:hint="eastAsia"/>
          <w:sz w:val="24"/>
          <w:szCs w:val="24"/>
        </w:rPr>
        <w:t>项六盘水市地方标准的批复》（黔市监办函〔2020〕470号）</w:t>
      </w:r>
      <w:r>
        <w:rPr>
          <w:rFonts w:hint="eastAsia" w:hAnsi="宋体"/>
          <w:sz w:val="24"/>
          <w:szCs w:val="24"/>
        </w:rPr>
        <w:t>，同意地方标准《软籽石榴育土肥水管理规程》编制立项。</w:t>
      </w:r>
    </w:p>
    <w:p>
      <w:pPr>
        <w:pStyle w:val="7"/>
        <w:spacing w:before="156" w:after="156"/>
        <w:ind w:left="0"/>
        <w:rPr>
          <w:rFonts w:hint="eastAsia" w:ascii="黑体" w:hAnsi="黑体" w:eastAsia="黑体" w:cs="黑体"/>
          <w:sz w:val="24"/>
          <w:szCs w:val="24"/>
        </w:rPr>
      </w:pPr>
      <w:r>
        <w:rPr>
          <w:rFonts w:hint="eastAsia" w:ascii="黑体" w:hAnsi="黑体" w:eastAsia="黑体" w:cs="黑体"/>
          <w:sz w:val="24"/>
          <w:szCs w:val="24"/>
        </w:rPr>
        <w:t>二、工作内容简介</w:t>
      </w:r>
    </w:p>
    <w:p>
      <w:pPr>
        <w:pStyle w:val="7"/>
        <w:spacing w:before="156" w:after="156"/>
        <w:ind w:left="0"/>
        <w:rPr>
          <w:rFonts w:hint="eastAsia" w:ascii="黑体" w:hAnsi="黑体" w:eastAsia="黑体" w:cs="黑体"/>
          <w:sz w:val="24"/>
          <w:szCs w:val="24"/>
        </w:rPr>
      </w:pPr>
      <w:r>
        <w:rPr>
          <w:rFonts w:hint="eastAsia" w:ascii="黑体" w:hAnsi="黑体" w:eastAsia="黑体" w:cs="黑体"/>
          <w:sz w:val="24"/>
          <w:szCs w:val="24"/>
        </w:rPr>
        <w:t>（一）标准起草单位</w:t>
      </w:r>
    </w:p>
    <w:p>
      <w:pPr>
        <w:pStyle w:val="6"/>
        <w:ind w:firstLine="480"/>
        <w:rPr>
          <w:rFonts w:hAnsi="宋体"/>
          <w:sz w:val="24"/>
          <w:szCs w:val="24"/>
        </w:rPr>
      </w:pPr>
      <w:r>
        <w:rPr>
          <w:rFonts w:hint="eastAsia" w:hAnsi="宋体"/>
          <w:sz w:val="24"/>
          <w:szCs w:val="24"/>
        </w:rPr>
        <w:t>文件起草单位：盘州市农业农村局、盘州市市场监督管理局、盘州市检验检测中心、贵州省盘州景农开发投资有限责任公司。</w:t>
      </w:r>
    </w:p>
    <w:p>
      <w:pPr>
        <w:pStyle w:val="7"/>
        <w:spacing w:before="156" w:after="156"/>
        <w:ind w:left="0"/>
        <w:rPr>
          <w:rFonts w:hint="eastAsia" w:ascii="黑体" w:hAnsi="黑体" w:eastAsia="黑体" w:cs="黑体"/>
          <w:sz w:val="24"/>
          <w:szCs w:val="24"/>
        </w:rPr>
      </w:pPr>
      <w:r>
        <w:rPr>
          <w:rFonts w:hint="eastAsia" w:ascii="黑体" w:hAnsi="黑体" w:eastAsia="黑体" w:cs="黑体"/>
          <w:sz w:val="24"/>
          <w:szCs w:val="24"/>
        </w:rPr>
        <w:t>（二）本主要起草人</w:t>
      </w:r>
    </w:p>
    <w:p>
      <w:pPr>
        <w:pStyle w:val="6"/>
        <w:ind w:firstLine="480"/>
        <w:rPr>
          <w:rFonts w:hAnsi="宋体"/>
          <w:sz w:val="24"/>
          <w:szCs w:val="24"/>
        </w:rPr>
      </w:pPr>
      <w:r>
        <w:rPr>
          <w:rFonts w:hint="eastAsia" w:hAnsi="宋体"/>
          <w:sz w:val="24"/>
          <w:szCs w:val="24"/>
        </w:rPr>
        <w:t>起草人员16人，其中：研究员1人、高级工程师1人，高级农艺师3人，工程师2人、其他人员9人。</w:t>
      </w:r>
    </w:p>
    <w:p>
      <w:pPr>
        <w:pStyle w:val="7"/>
        <w:spacing w:before="156" w:after="156"/>
        <w:ind w:left="0"/>
        <w:rPr>
          <w:rFonts w:hint="eastAsia" w:ascii="黑体" w:hAnsi="黑体" w:eastAsia="黑体" w:cs="黑体"/>
          <w:sz w:val="24"/>
          <w:szCs w:val="24"/>
        </w:rPr>
      </w:pPr>
      <w:r>
        <w:rPr>
          <w:rFonts w:hint="eastAsia" w:ascii="黑体" w:hAnsi="黑体" w:eastAsia="黑体" w:cs="黑体"/>
          <w:sz w:val="24"/>
          <w:szCs w:val="24"/>
        </w:rPr>
        <w:t>（三）工作开展情况</w:t>
      </w:r>
    </w:p>
    <w:p>
      <w:pPr>
        <w:pStyle w:val="6"/>
        <w:ind w:firstLine="480"/>
        <w:rPr>
          <w:rFonts w:hAnsi="宋体"/>
          <w:sz w:val="24"/>
          <w:szCs w:val="24"/>
        </w:rPr>
      </w:pPr>
      <w:r>
        <w:rPr>
          <w:rFonts w:hint="eastAsia" w:hAnsi="宋体"/>
          <w:sz w:val="24"/>
          <w:szCs w:val="24"/>
        </w:rPr>
        <w:t>2020年12月，结合软籽石榴土肥水管理实际情况，完成文件初稿的起草；2021年，该标准在软籽石榴基地进行实施，并记录相关数据和对数据进行分析。在六盘水市市场监督管理局的业务指导和各相关单位共同努力下，2022年3月进行修订形成征求意见稿。</w:t>
      </w:r>
    </w:p>
    <w:p>
      <w:pPr>
        <w:pStyle w:val="7"/>
        <w:spacing w:before="156" w:after="156"/>
        <w:ind w:left="0"/>
        <w:rPr>
          <w:rFonts w:hint="eastAsia" w:ascii="黑体" w:hAnsi="黑体" w:eastAsia="黑体" w:cs="黑体"/>
          <w:sz w:val="24"/>
          <w:szCs w:val="24"/>
        </w:rPr>
      </w:pPr>
      <w:r>
        <w:rPr>
          <w:rFonts w:hint="eastAsia" w:ascii="黑体" w:hAnsi="黑体" w:eastAsia="黑体" w:cs="黑体"/>
          <w:sz w:val="24"/>
          <w:szCs w:val="24"/>
        </w:rPr>
        <w:t>三、标准制定原则和主要技术内容确定的依据及主要内容确定的依据</w:t>
      </w:r>
    </w:p>
    <w:p>
      <w:pPr>
        <w:pStyle w:val="6"/>
        <w:ind w:firstLine="480"/>
        <w:rPr>
          <w:rFonts w:hAnsi="宋体"/>
          <w:sz w:val="24"/>
          <w:szCs w:val="24"/>
        </w:rPr>
      </w:pPr>
      <w:r>
        <w:rPr>
          <w:rFonts w:hint="eastAsia" w:hAnsi="宋体"/>
          <w:sz w:val="24"/>
          <w:szCs w:val="24"/>
        </w:rPr>
        <w:t>文件格式和条款确立按照GB/T1.1-2020《标准化工作导则 第1部份：标准化文件的机构和起草规则》、GB/T 20001.5-2017《标准编写规则 第5部分：规范标准》进行编写。</w:t>
      </w:r>
    </w:p>
    <w:p>
      <w:pPr>
        <w:pStyle w:val="6"/>
        <w:ind w:firstLine="0" w:firstLineChars="0"/>
        <w:rPr>
          <w:rFonts w:hint="eastAsia" w:hAnsi="宋体"/>
          <w:sz w:val="24"/>
          <w:szCs w:val="24"/>
        </w:rPr>
      </w:pPr>
    </w:p>
    <w:p>
      <w:pPr>
        <w:pStyle w:val="6"/>
        <w:ind w:firstLine="0" w:firstLineChars="0"/>
        <w:rPr>
          <w:rFonts w:hint="eastAsia" w:ascii="黑体" w:hAnsi="黑体" w:eastAsia="黑体" w:cs="黑体"/>
          <w:sz w:val="24"/>
          <w:szCs w:val="24"/>
        </w:rPr>
      </w:pPr>
      <w:r>
        <w:rPr>
          <w:rFonts w:hint="eastAsia" w:ascii="黑体" w:hAnsi="黑体" w:eastAsia="黑体" w:cs="黑体"/>
          <w:sz w:val="24"/>
          <w:szCs w:val="24"/>
        </w:rPr>
        <w:t>四</w:t>
      </w:r>
      <w:r>
        <w:rPr>
          <w:rFonts w:hint="eastAsia" w:ascii="黑体" w:hAnsi="黑体" w:eastAsia="黑体" w:cs="黑体"/>
          <w:sz w:val="24"/>
          <w:szCs w:val="24"/>
          <w:lang w:eastAsia="zh-CN"/>
        </w:rPr>
        <w:t>、</w:t>
      </w:r>
      <w:r>
        <w:rPr>
          <w:rFonts w:hint="eastAsia" w:ascii="黑体" w:hAnsi="黑体" w:eastAsia="黑体" w:cs="黑体"/>
          <w:sz w:val="24"/>
          <w:szCs w:val="24"/>
        </w:rPr>
        <w:t>主要技术指标的说明</w:t>
      </w:r>
    </w:p>
    <w:p>
      <w:pPr>
        <w:pStyle w:val="8"/>
        <w:numPr>
          <w:ilvl w:val="0"/>
          <w:numId w:val="1"/>
        </w:numPr>
        <w:spacing w:before="312" w:after="312"/>
        <w:rPr>
          <w:rFonts w:ascii="宋体" w:hAnsi="宋体" w:eastAsia="宋体" w:cs="Times New Roman"/>
          <w:sz w:val="24"/>
          <w:szCs w:val="24"/>
        </w:rPr>
      </w:pPr>
      <w:r>
        <w:rPr>
          <w:rFonts w:hint="eastAsia" w:ascii="宋体" w:hAnsi="宋体" w:eastAsia="宋体" w:cs="Times New Roman"/>
          <w:sz w:val="24"/>
          <w:szCs w:val="24"/>
        </w:rPr>
        <w:t>栽植后土壤管理</w:t>
      </w:r>
    </w:p>
    <w:p>
      <w:pPr>
        <w:pStyle w:val="9"/>
        <w:numPr>
          <w:ilvl w:val="1"/>
          <w:numId w:val="1"/>
        </w:numPr>
        <w:spacing w:before="156" w:after="156"/>
        <w:ind w:left="0"/>
        <w:rPr>
          <w:rFonts w:ascii="宋体" w:hAnsi="宋体" w:eastAsia="宋体" w:cs="Times New Roman"/>
          <w:sz w:val="24"/>
          <w:szCs w:val="24"/>
        </w:rPr>
      </w:pPr>
      <w:r>
        <w:rPr>
          <w:rFonts w:hint="eastAsia" w:ascii="宋体" w:hAnsi="宋体" w:eastAsia="宋体" w:cs="Times New Roman"/>
          <w:sz w:val="24"/>
          <w:szCs w:val="24"/>
        </w:rPr>
        <w:t>中耕除草</w:t>
      </w:r>
    </w:p>
    <w:p>
      <w:pPr>
        <w:pStyle w:val="6"/>
        <w:ind w:firstLine="240" w:firstLineChars="100"/>
        <w:rPr>
          <w:rFonts w:hAnsi="宋体"/>
          <w:sz w:val="24"/>
          <w:szCs w:val="24"/>
        </w:rPr>
      </w:pPr>
      <w:r>
        <w:rPr>
          <w:rFonts w:hint="eastAsia" w:hAnsi="宋体"/>
          <w:sz w:val="24"/>
          <w:szCs w:val="24"/>
        </w:rPr>
        <w:t>于每年6～7月降雨或灌水后全园中耕除草1次，翻土深度5～10cm。</w:t>
      </w:r>
    </w:p>
    <w:p>
      <w:pPr>
        <w:pStyle w:val="8"/>
        <w:numPr>
          <w:ilvl w:val="0"/>
          <w:numId w:val="1"/>
        </w:numPr>
        <w:spacing w:before="312" w:after="312"/>
        <w:rPr>
          <w:rFonts w:ascii="宋体" w:hAnsi="宋体" w:eastAsia="宋体" w:cs="Times New Roman"/>
          <w:sz w:val="24"/>
          <w:szCs w:val="24"/>
        </w:rPr>
      </w:pPr>
      <w:r>
        <w:rPr>
          <w:rFonts w:hint="eastAsia" w:ascii="宋体" w:hAnsi="宋体" w:eastAsia="宋体" w:cs="Times New Roman"/>
          <w:sz w:val="24"/>
          <w:szCs w:val="24"/>
        </w:rPr>
        <w:t>施肥</w:t>
      </w:r>
    </w:p>
    <w:p>
      <w:pPr>
        <w:pStyle w:val="9"/>
        <w:numPr>
          <w:ilvl w:val="1"/>
          <w:numId w:val="1"/>
        </w:numPr>
        <w:spacing w:before="156" w:after="156"/>
        <w:ind w:left="0"/>
        <w:rPr>
          <w:rFonts w:ascii="宋体" w:hAnsi="宋体" w:eastAsia="宋体" w:cs="Times New Roman"/>
          <w:sz w:val="24"/>
          <w:szCs w:val="24"/>
        </w:rPr>
      </w:pPr>
      <w:r>
        <w:rPr>
          <w:rFonts w:hint="eastAsia" w:ascii="宋体" w:hAnsi="宋体" w:eastAsia="宋体" w:cs="Times New Roman"/>
          <w:sz w:val="24"/>
          <w:szCs w:val="24"/>
        </w:rPr>
        <w:t>肥料选择</w:t>
      </w:r>
    </w:p>
    <w:p>
      <w:pPr>
        <w:pStyle w:val="6"/>
        <w:ind w:firstLine="480"/>
        <w:rPr>
          <w:rFonts w:hAnsi="宋体"/>
          <w:sz w:val="24"/>
          <w:szCs w:val="24"/>
        </w:rPr>
      </w:pPr>
      <w:r>
        <w:rPr>
          <w:rFonts w:hint="eastAsia" w:hAnsi="宋体"/>
          <w:sz w:val="24"/>
          <w:szCs w:val="24"/>
        </w:rPr>
        <w:t>应选择农业行政主管部门登记的肥料或免于登记的肥料，可选用各种腐熟的农家肥、绿肥、微生物肥等有机肥，或经过化学方法合成或物理方法加工而成的各种无机肥。所施用的肥料不应对果园环境和果实品质产生不良影响，并符合NY/T 394的规定。</w:t>
      </w:r>
    </w:p>
    <w:p>
      <w:pPr>
        <w:pStyle w:val="9"/>
        <w:numPr>
          <w:ilvl w:val="1"/>
          <w:numId w:val="1"/>
        </w:numPr>
        <w:spacing w:before="156" w:after="156"/>
        <w:ind w:left="0"/>
        <w:rPr>
          <w:rFonts w:ascii="宋体" w:hAnsi="宋体" w:eastAsia="宋体" w:cs="Times New Roman"/>
          <w:sz w:val="24"/>
          <w:szCs w:val="24"/>
        </w:rPr>
      </w:pPr>
      <w:r>
        <w:rPr>
          <w:rFonts w:hint="eastAsia" w:ascii="宋体" w:hAnsi="宋体" w:eastAsia="宋体" w:cs="Times New Roman"/>
          <w:sz w:val="24"/>
          <w:szCs w:val="24"/>
        </w:rPr>
        <w:t>施肥方法</w:t>
      </w:r>
    </w:p>
    <w:p>
      <w:pPr>
        <w:pStyle w:val="7"/>
        <w:numPr>
          <w:ilvl w:val="2"/>
          <w:numId w:val="1"/>
        </w:numPr>
        <w:spacing w:before="156" w:after="156"/>
        <w:rPr>
          <w:rFonts w:ascii="宋体" w:hAnsi="宋体" w:eastAsia="宋体"/>
          <w:sz w:val="24"/>
          <w:szCs w:val="24"/>
        </w:rPr>
      </w:pPr>
      <w:r>
        <w:rPr>
          <w:rFonts w:hint="eastAsia" w:ascii="宋体" w:hAnsi="宋体" w:eastAsia="宋体"/>
          <w:sz w:val="24"/>
          <w:szCs w:val="24"/>
        </w:rPr>
        <w:t>环状沟施肥法</w:t>
      </w:r>
    </w:p>
    <w:p>
      <w:pPr>
        <w:pStyle w:val="6"/>
        <w:ind w:firstLine="480"/>
        <w:rPr>
          <w:rFonts w:hAnsi="宋体"/>
          <w:sz w:val="24"/>
          <w:szCs w:val="24"/>
        </w:rPr>
      </w:pPr>
      <w:r>
        <w:rPr>
          <w:rFonts w:hint="eastAsia" w:hAnsi="宋体"/>
          <w:sz w:val="24"/>
          <w:szCs w:val="24"/>
        </w:rPr>
        <w:t>于树盘外围挖宽50cm、深25～40cm的环状沟，将肥料与土壤混匀后回填。</w:t>
      </w:r>
    </w:p>
    <w:p>
      <w:pPr>
        <w:pStyle w:val="7"/>
        <w:numPr>
          <w:ilvl w:val="2"/>
          <w:numId w:val="1"/>
        </w:numPr>
        <w:spacing w:before="156" w:after="156"/>
        <w:rPr>
          <w:rFonts w:ascii="宋体" w:hAnsi="宋体" w:eastAsia="宋体"/>
          <w:sz w:val="24"/>
          <w:szCs w:val="24"/>
        </w:rPr>
      </w:pPr>
      <w:r>
        <w:rPr>
          <w:rFonts w:hint="eastAsia" w:ascii="宋体" w:hAnsi="宋体" w:eastAsia="宋体"/>
          <w:sz w:val="24"/>
          <w:szCs w:val="24"/>
        </w:rPr>
        <w:t>放射状沟施肥法</w:t>
      </w:r>
    </w:p>
    <w:p>
      <w:pPr>
        <w:pStyle w:val="6"/>
        <w:ind w:firstLine="480"/>
        <w:rPr>
          <w:rFonts w:hAnsi="宋体"/>
          <w:sz w:val="24"/>
          <w:szCs w:val="24"/>
        </w:rPr>
      </w:pPr>
      <w:r>
        <w:rPr>
          <w:rFonts w:hint="eastAsia" w:hAnsi="宋体"/>
          <w:sz w:val="24"/>
          <w:szCs w:val="24"/>
        </w:rPr>
        <w:t>于树冠下距主干1m处以主干为中心向外放射状挖4～8条宽30～50cm、深15～30cm、长60cm的施肥沟，将肥料与土壤混匀后回填。</w:t>
      </w:r>
    </w:p>
    <w:p>
      <w:pPr>
        <w:pStyle w:val="7"/>
        <w:numPr>
          <w:ilvl w:val="2"/>
          <w:numId w:val="1"/>
        </w:numPr>
        <w:spacing w:before="156" w:after="156"/>
        <w:rPr>
          <w:rFonts w:ascii="宋体" w:hAnsi="宋体" w:eastAsia="宋体"/>
          <w:sz w:val="24"/>
          <w:szCs w:val="24"/>
        </w:rPr>
      </w:pPr>
      <w:r>
        <w:rPr>
          <w:rFonts w:hint="eastAsia" w:ascii="宋体" w:hAnsi="宋体" w:eastAsia="宋体"/>
          <w:sz w:val="24"/>
          <w:szCs w:val="24"/>
        </w:rPr>
        <w:t>穴状施肥法</w:t>
      </w:r>
    </w:p>
    <w:p>
      <w:pPr>
        <w:pStyle w:val="6"/>
        <w:ind w:firstLine="480"/>
        <w:rPr>
          <w:rFonts w:hAnsi="宋体"/>
          <w:sz w:val="24"/>
          <w:szCs w:val="24"/>
        </w:rPr>
      </w:pPr>
      <w:r>
        <w:rPr>
          <w:rFonts w:hint="eastAsia" w:hAnsi="宋体"/>
          <w:sz w:val="24"/>
          <w:szCs w:val="24"/>
        </w:rPr>
        <w:t>于树盘外围每隔50cm环状挖3～5个直径30cm、深20～30cm的施肥穴，将肥料施入，覆土。</w:t>
      </w:r>
    </w:p>
    <w:p>
      <w:pPr>
        <w:pStyle w:val="7"/>
        <w:numPr>
          <w:ilvl w:val="2"/>
          <w:numId w:val="1"/>
        </w:numPr>
        <w:spacing w:before="156" w:after="156"/>
        <w:rPr>
          <w:rFonts w:ascii="宋体" w:hAnsi="宋体" w:eastAsia="宋体"/>
          <w:sz w:val="24"/>
          <w:szCs w:val="24"/>
        </w:rPr>
      </w:pPr>
      <w:r>
        <w:rPr>
          <w:rFonts w:hint="eastAsia" w:ascii="宋体" w:hAnsi="宋体" w:eastAsia="宋体"/>
          <w:sz w:val="24"/>
          <w:szCs w:val="24"/>
        </w:rPr>
        <w:t>条沟施肥法</w:t>
      </w:r>
    </w:p>
    <w:p>
      <w:pPr>
        <w:pStyle w:val="6"/>
        <w:ind w:firstLine="480"/>
        <w:rPr>
          <w:rFonts w:hAnsi="宋体"/>
          <w:sz w:val="24"/>
          <w:szCs w:val="24"/>
        </w:rPr>
      </w:pPr>
      <w:r>
        <w:rPr>
          <w:rFonts w:hint="eastAsia" w:hAnsi="宋体"/>
          <w:sz w:val="24"/>
          <w:szCs w:val="24"/>
        </w:rPr>
        <w:t>在行间或株间或隔行开宽50cm、深25～40cm的施肥沟，将肥料与土壤混匀后回填，覆土。</w:t>
      </w:r>
    </w:p>
    <w:p>
      <w:pPr>
        <w:pStyle w:val="7"/>
        <w:numPr>
          <w:ilvl w:val="2"/>
          <w:numId w:val="1"/>
        </w:numPr>
        <w:spacing w:before="156" w:after="156"/>
        <w:rPr>
          <w:rFonts w:ascii="宋体" w:hAnsi="宋体" w:eastAsia="宋体"/>
          <w:sz w:val="24"/>
          <w:szCs w:val="24"/>
        </w:rPr>
      </w:pPr>
      <w:r>
        <w:rPr>
          <w:rFonts w:hint="eastAsia" w:ascii="宋体" w:hAnsi="宋体" w:eastAsia="宋体"/>
          <w:sz w:val="24"/>
          <w:szCs w:val="24"/>
        </w:rPr>
        <w:t>叶面施肥方法</w:t>
      </w:r>
    </w:p>
    <w:p>
      <w:pPr>
        <w:pStyle w:val="6"/>
        <w:ind w:firstLine="480"/>
        <w:rPr>
          <w:rFonts w:hAnsi="宋体"/>
          <w:sz w:val="24"/>
          <w:szCs w:val="24"/>
        </w:rPr>
      </w:pPr>
      <w:r>
        <w:rPr>
          <w:rFonts w:hint="eastAsia" w:hAnsi="宋体"/>
          <w:sz w:val="24"/>
          <w:szCs w:val="24"/>
        </w:rPr>
        <w:t>将溶解好的肥料使用喷洒工具均匀喷施于果树叶面叶背至叶面滴水，宜在湿度较大的阴天、早上10点前或下午4点以后进行。</w:t>
      </w:r>
    </w:p>
    <w:p>
      <w:pPr>
        <w:pStyle w:val="9"/>
        <w:numPr>
          <w:ilvl w:val="1"/>
          <w:numId w:val="1"/>
        </w:numPr>
        <w:spacing w:before="156" w:after="156"/>
        <w:ind w:left="0"/>
        <w:rPr>
          <w:rFonts w:ascii="宋体" w:hAnsi="宋体" w:eastAsia="宋体" w:cs="Times New Roman"/>
          <w:sz w:val="24"/>
          <w:szCs w:val="24"/>
        </w:rPr>
      </w:pPr>
      <w:r>
        <w:rPr>
          <w:rFonts w:hint="eastAsia" w:ascii="宋体" w:hAnsi="宋体" w:eastAsia="宋体" w:cs="Times New Roman"/>
          <w:sz w:val="24"/>
          <w:szCs w:val="24"/>
        </w:rPr>
        <w:t>施肥时间、肥料种类、施肥量</w:t>
      </w:r>
    </w:p>
    <w:p>
      <w:pPr>
        <w:pStyle w:val="6"/>
        <w:ind w:firstLine="480"/>
        <w:rPr>
          <w:rFonts w:hAnsi="宋体"/>
          <w:sz w:val="24"/>
          <w:szCs w:val="24"/>
        </w:rPr>
      </w:pPr>
      <w:r>
        <w:rPr>
          <w:rFonts w:hint="eastAsia" w:hAnsi="宋体"/>
          <w:sz w:val="24"/>
          <w:szCs w:val="24"/>
        </w:rPr>
        <w:t>软籽石榴施肥时间、肥料种类、施肥量见表1。</w:t>
      </w:r>
    </w:p>
    <w:p>
      <w:pPr>
        <w:pStyle w:val="10"/>
        <w:numPr>
          <w:ilvl w:val="0"/>
          <w:numId w:val="2"/>
        </w:numPr>
        <w:spacing w:before="156" w:after="156"/>
        <w:rPr>
          <w:rFonts w:ascii="宋体" w:hAnsi="宋体" w:eastAsia="宋体" w:cs="Times New Roman"/>
          <w:sz w:val="24"/>
          <w:szCs w:val="24"/>
        </w:rPr>
      </w:pPr>
      <w:r>
        <w:rPr>
          <w:rFonts w:hint="eastAsia" w:ascii="宋体" w:hAnsi="宋体" w:eastAsia="宋体" w:cs="Times New Roman"/>
          <w:sz w:val="24"/>
          <w:szCs w:val="24"/>
        </w:rPr>
        <w:t>施肥时间、肥料种类、施肥量</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1015"/>
        <w:gridCol w:w="2034"/>
        <w:gridCol w:w="142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施肥时间</w:t>
            </w:r>
          </w:p>
        </w:tc>
        <w:tc>
          <w:tcPr>
            <w:tcW w:w="1015"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肥料种类</w:t>
            </w:r>
          </w:p>
        </w:tc>
        <w:tc>
          <w:tcPr>
            <w:tcW w:w="2034"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肥料名称</w:t>
            </w:r>
          </w:p>
        </w:tc>
        <w:tc>
          <w:tcPr>
            <w:tcW w:w="1428"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施肥量（kg/株）</w:t>
            </w:r>
          </w:p>
        </w:tc>
        <w:tc>
          <w:tcPr>
            <w:tcW w:w="3015"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施肥方法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szCs w:val="24"/>
              </w:rPr>
            </w:pPr>
            <w:r>
              <w:rPr>
                <w:rFonts w:hint="eastAsia" w:ascii="宋体" w:hAnsi="宋体"/>
                <w:kern w:val="0"/>
                <w:sz w:val="24"/>
                <w:szCs w:val="24"/>
              </w:rPr>
              <w:t>3月</w:t>
            </w:r>
          </w:p>
        </w:tc>
        <w:tc>
          <w:tcPr>
            <w:tcW w:w="10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土壤追肥</w:t>
            </w:r>
          </w:p>
        </w:tc>
        <w:tc>
          <w:tcPr>
            <w:tcW w:w="20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平衡型复合肥</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szCs w:val="24"/>
              </w:rPr>
            </w:pPr>
            <w:r>
              <w:rPr>
                <w:rFonts w:hint="eastAsia" w:ascii="宋体" w:hAnsi="宋体"/>
                <w:kern w:val="0"/>
                <w:sz w:val="24"/>
                <w:szCs w:val="24"/>
              </w:rPr>
              <w:t>1</w:t>
            </w:r>
          </w:p>
        </w:tc>
        <w:tc>
          <w:tcPr>
            <w:tcW w:w="30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环状沟施肥法、放射状沟施肥法、穴状施肥法、条沟施肥法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6月</w:t>
            </w:r>
          </w:p>
        </w:tc>
        <w:tc>
          <w:tcPr>
            <w:tcW w:w="1015"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szCs w:val="24"/>
              </w:rPr>
            </w:pPr>
            <w:r>
              <w:rPr>
                <w:rFonts w:hint="eastAsia" w:ascii="宋体" w:hAnsi="宋体"/>
                <w:kern w:val="0"/>
                <w:sz w:val="24"/>
                <w:szCs w:val="24"/>
              </w:rPr>
              <w:t>叶面肥</w:t>
            </w:r>
          </w:p>
        </w:tc>
        <w:tc>
          <w:tcPr>
            <w:tcW w:w="2034"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szCs w:val="24"/>
              </w:rPr>
            </w:pPr>
            <w:r>
              <w:rPr>
                <w:rFonts w:hint="eastAsia" w:ascii="宋体" w:hAnsi="宋体"/>
                <w:kern w:val="0"/>
                <w:sz w:val="24"/>
                <w:szCs w:val="24"/>
              </w:rPr>
              <w:t>0.3%～0.5%磷酸二氢钾</w:t>
            </w:r>
          </w:p>
        </w:tc>
        <w:tc>
          <w:tcPr>
            <w:tcW w:w="1428"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4"/>
                <w:szCs w:val="24"/>
              </w:rPr>
            </w:pPr>
            <w:r>
              <w:rPr>
                <w:rFonts w:hint="eastAsia" w:ascii="宋体" w:hAnsi="宋体"/>
                <w:kern w:val="0"/>
                <w:sz w:val="24"/>
                <w:szCs w:val="24"/>
              </w:rPr>
              <w:t>——</w:t>
            </w:r>
          </w:p>
        </w:tc>
        <w:tc>
          <w:tcPr>
            <w:tcW w:w="3015" w:type="dxa"/>
            <w:tcBorders>
              <w:top w:val="single" w:color="000000" w:sz="4" w:space="0"/>
              <w:left w:val="single" w:color="000000" w:sz="4" w:space="0"/>
              <w:bottom w:val="single" w:color="000000" w:sz="4" w:space="0"/>
              <w:right w:val="single" w:color="000000" w:sz="4" w:space="0"/>
            </w:tcBorders>
          </w:tcPr>
          <w:p>
            <w:pPr>
              <w:rPr>
                <w:rFonts w:ascii="宋体" w:hAnsi="宋体"/>
                <w:kern w:val="0"/>
                <w:sz w:val="24"/>
                <w:szCs w:val="24"/>
              </w:rPr>
            </w:pPr>
            <w:r>
              <w:rPr>
                <w:rFonts w:hint="eastAsia" w:ascii="宋体" w:hAnsi="宋体"/>
                <w:kern w:val="0"/>
                <w:sz w:val="24"/>
                <w:szCs w:val="24"/>
              </w:rPr>
              <w:t>喷施至叶面滴水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szCs w:val="24"/>
              </w:rPr>
            </w:pPr>
            <w:r>
              <w:rPr>
                <w:rFonts w:hint="eastAsia" w:ascii="宋体" w:hAnsi="宋体"/>
                <w:kern w:val="0"/>
                <w:sz w:val="24"/>
                <w:szCs w:val="24"/>
              </w:rPr>
              <w:t>10～12月</w:t>
            </w:r>
          </w:p>
        </w:tc>
        <w:tc>
          <w:tcPr>
            <w:tcW w:w="10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基肥</w:t>
            </w:r>
          </w:p>
        </w:tc>
        <w:tc>
          <w:tcPr>
            <w:tcW w:w="20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生物有机肥</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szCs w:val="24"/>
              </w:rPr>
            </w:pPr>
            <w:r>
              <w:rPr>
                <w:rFonts w:hint="eastAsia" w:ascii="宋体" w:hAnsi="宋体"/>
                <w:kern w:val="0"/>
                <w:sz w:val="24"/>
                <w:szCs w:val="24"/>
              </w:rPr>
              <w:t>10～20</w:t>
            </w:r>
          </w:p>
        </w:tc>
        <w:tc>
          <w:tcPr>
            <w:tcW w:w="30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szCs w:val="24"/>
              </w:rPr>
            </w:pPr>
            <w:r>
              <w:rPr>
                <w:rFonts w:hint="eastAsia" w:ascii="宋体" w:hAnsi="宋体"/>
                <w:kern w:val="0"/>
                <w:sz w:val="24"/>
                <w:szCs w:val="24"/>
              </w:rPr>
              <w:t>环状沟施肥法、放射状沟施肥法、穴状施肥法、条沟施肥法</w:t>
            </w:r>
          </w:p>
        </w:tc>
      </w:tr>
    </w:tbl>
    <w:p>
      <w:pPr>
        <w:pStyle w:val="6"/>
        <w:ind w:firstLine="480"/>
        <w:jc w:val="left"/>
        <w:rPr>
          <w:rFonts w:hAnsi="宋体"/>
          <w:sz w:val="24"/>
          <w:szCs w:val="24"/>
        </w:rPr>
      </w:pPr>
    </w:p>
    <w:p>
      <w:pPr>
        <w:pStyle w:val="11"/>
        <w:ind w:left="0"/>
        <w:rPr>
          <w:rFonts w:ascii="黑体" w:eastAsia="黑体"/>
          <w:sz w:val="24"/>
          <w:szCs w:val="24"/>
        </w:rPr>
      </w:pPr>
      <w:r>
        <w:rPr>
          <w:rFonts w:hint="eastAsia" w:ascii="黑体" w:hAnsi="黑体" w:eastAsia="黑体"/>
          <w:sz w:val="24"/>
          <w:szCs w:val="24"/>
        </w:rPr>
        <w:t>五、与现行相关法律、法规、规章及相关标准，特别是强制性标准的协调性</w:t>
      </w:r>
    </w:p>
    <w:p>
      <w:pPr>
        <w:pStyle w:val="11"/>
        <w:ind w:left="0" w:firstLine="480" w:firstLineChars="200"/>
        <w:rPr>
          <w:sz w:val="24"/>
          <w:szCs w:val="24"/>
        </w:rPr>
      </w:pPr>
      <w:r>
        <w:rPr>
          <w:rFonts w:hint="eastAsia" w:hAnsi="宋体"/>
          <w:sz w:val="24"/>
          <w:szCs w:val="24"/>
        </w:rPr>
        <w:t>目前，尚无软籽石榴土肥水管理的国家标准、行业标准，贵州省也未发布有软籽石榴</w:t>
      </w:r>
      <w:r>
        <w:rPr>
          <w:rFonts w:hint="eastAsia" w:hAnsi="宋体"/>
          <w:color w:val="000000" w:themeColor="text1"/>
          <w:sz w:val="24"/>
          <w:szCs w:val="24"/>
        </w:rPr>
        <w:t>土肥水管理的相关</w:t>
      </w:r>
      <w:r>
        <w:rPr>
          <w:rFonts w:hint="eastAsia" w:hAnsi="宋体"/>
          <w:sz w:val="24"/>
          <w:szCs w:val="24"/>
        </w:rPr>
        <w:t>地方标准。地方标准《软籽石榴土肥水管理规程》制定，符合现行法律、法规、规章和产业政策的规定，与相关标准统一协调。</w:t>
      </w:r>
    </w:p>
    <w:p>
      <w:pPr>
        <w:pStyle w:val="11"/>
        <w:ind w:left="0"/>
        <w:rPr>
          <w:rFonts w:ascii="黑体" w:eastAsia="黑体"/>
          <w:sz w:val="24"/>
          <w:szCs w:val="24"/>
        </w:rPr>
      </w:pPr>
      <w:r>
        <w:rPr>
          <w:rFonts w:hint="eastAsia" w:ascii="黑体" w:hAnsi="黑体" w:eastAsia="黑体"/>
          <w:sz w:val="24"/>
          <w:szCs w:val="24"/>
        </w:rPr>
        <w:t>六、专利及涉及知识产权</w:t>
      </w:r>
    </w:p>
    <w:p>
      <w:pPr>
        <w:pStyle w:val="11"/>
        <w:ind w:left="0" w:firstLine="480" w:firstLineChars="200"/>
        <w:rPr>
          <w:sz w:val="24"/>
          <w:szCs w:val="24"/>
        </w:rPr>
      </w:pPr>
      <w:r>
        <w:rPr>
          <w:rFonts w:hint="eastAsia" w:hAnsi="宋体"/>
          <w:sz w:val="24"/>
          <w:szCs w:val="24"/>
        </w:rPr>
        <w:t>本文件内容不涉及专利相关的知识产权。</w:t>
      </w:r>
    </w:p>
    <w:p>
      <w:pPr>
        <w:pStyle w:val="11"/>
        <w:ind w:left="0"/>
        <w:rPr>
          <w:rFonts w:ascii="黑体" w:eastAsia="黑体"/>
          <w:sz w:val="24"/>
          <w:szCs w:val="24"/>
        </w:rPr>
      </w:pPr>
      <w:r>
        <w:rPr>
          <w:rFonts w:hint="eastAsia" w:ascii="黑体" w:hAnsi="黑体" w:eastAsia="黑体"/>
          <w:sz w:val="24"/>
          <w:szCs w:val="24"/>
        </w:rPr>
        <w:t>七、分歧意见的处理经过</w:t>
      </w:r>
    </w:p>
    <w:p>
      <w:pPr>
        <w:pStyle w:val="11"/>
        <w:ind w:left="0" w:firstLine="480" w:firstLineChars="200"/>
        <w:rPr>
          <w:sz w:val="24"/>
          <w:szCs w:val="24"/>
        </w:rPr>
      </w:pPr>
      <w:r>
        <w:rPr>
          <w:rFonts w:hint="eastAsia" w:hAnsi="宋体"/>
          <w:sz w:val="24"/>
          <w:szCs w:val="24"/>
        </w:rPr>
        <w:t>本文件在起草过程充分征求生产企业、政府监管部门等相关单位和专家意见和建议，通过共同讨论、协商，达成一致，无重大分歧意见。</w:t>
      </w:r>
    </w:p>
    <w:p>
      <w:pPr>
        <w:pStyle w:val="11"/>
        <w:ind w:left="0"/>
        <w:rPr>
          <w:rFonts w:ascii="黑体" w:eastAsia="黑体"/>
          <w:sz w:val="24"/>
          <w:szCs w:val="24"/>
        </w:rPr>
      </w:pPr>
      <w:r>
        <w:rPr>
          <w:rFonts w:hint="eastAsia" w:ascii="黑体" w:hAnsi="黑体" w:eastAsia="黑体"/>
          <w:sz w:val="24"/>
          <w:szCs w:val="24"/>
        </w:rPr>
        <w:t>八、标准作为强制性或推荐性地方标准的建议</w:t>
      </w:r>
    </w:p>
    <w:p>
      <w:pPr>
        <w:pStyle w:val="11"/>
        <w:ind w:left="0" w:firstLine="480" w:firstLineChars="200"/>
        <w:rPr>
          <w:sz w:val="24"/>
          <w:szCs w:val="24"/>
        </w:rPr>
      </w:pPr>
      <w:r>
        <w:rPr>
          <w:rFonts w:hint="eastAsia" w:hAnsi="宋体"/>
          <w:sz w:val="24"/>
          <w:szCs w:val="24"/>
        </w:rPr>
        <w:t>建议作为推荐性标准贯彻与实施，由六盘水市市场监督管理局发布，并进一步加大宣传力度，尽快在六盘水市相关地区进行推广实施，增加软籽石榴产业的多元化与可持续发展。</w:t>
      </w:r>
    </w:p>
    <w:p>
      <w:pPr>
        <w:pStyle w:val="11"/>
        <w:ind w:left="0"/>
        <w:rPr>
          <w:rFonts w:ascii="黑体" w:eastAsia="黑体"/>
          <w:sz w:val="24"/>
          <w:szCs w:val="24"/>
        </w:rPr>
      </w:pPr>
      <w:r>
        <w:rPr>
          <w:rFonts w:hint="eastAsia" w:ascii="黑体" w:hAnsi="黑体" w:eastAsia="黑体"/>
          <w:sz w:val="24"/>
          <w:szCs w:val="24"/>
        </w:rPr>
        <w:t>九、贯彻标准的要求和措施建议</w:t>
      </w:r>
    </w:p>
    <w:p>
      <w:pPr>
        <w:pStyle w:val="11"/>
        <w:ind w:left="0" w:firstLine="480" w:firstLineChars="200"/>
        <w:rPr>
          <w:sz w:val="24"/>
          <w:szCs w:val="24"/>
        </w:rPr>
      </w:pPr>
      <w:r>
        <w:rPr>
          <w:rFonts w:hint="eastAsia" w:hAnsi="宋体"/>
          <w:sz w:val="24"/>
          <w:szCs w:val="24"/>
        </w:rPr>
        <w:t>本文件发布后，相关单位应及时积极组织做好执行标准的各项工作，文件实施后应按标准要求组织生产、监督管理。</w:t>
      </w:r>
    </w:p>
    <w:p>
      <w:pPr>
        <w:pStyle w:val="11"/>
        <w:ind w:left="0"/>
        <w:rPr>
          <w:rFonts w:ascii="黑体" w:eastAsia="黑体"/>
          <w:sz w:val="24"/>
          <w:szCs w:val="24"/>
        </w:rPr>
      </w:pPr>
      <w:r>
        <w:rPr>
          <w:rFonts w:hint="eastAsia" w:ascii="黑体" w:hAnsi="黑体" w:eastAsia="黑体"/>
          <w:sz w:val="24"/>
          <w:szCs w:val="24"/>
        </w:rPr>
        <w:t>十、废止现行有关标准的建议</w:t>
      </w:r>
    </w:p>
    <w:p>
      <w:pPr>
        <w:pStyle w:val="11"/>
        <w:ind w:left="0" w:firstLine="480" w:firstLineChars="200"/>
        <w:rPr>
          <w:sz w:val="24"/>
          <w:szCs w:val="24"/>
        </w:rPr>
      </w:pPr>
      <w:r>
        <w:rPr>
          <w:rFonts w:hint="eastAsia" w:hAnsi="宋体"/>
          <w:sz w:val="24"/>
          <w:szCs w:val="24"/>
        </w:rPr>
        <w:t>本标准为首次制定，无废止现行有关标准的建议。</w:t>
      </w:r>
    </w:p>
    <w:p>
      <w:pPr>
        <w:pStyle w:val="11"/>
        <w:ind w:left="0"/>
        <w:rPr>
          <w:rFonts w:ascii="黑体" w:eastAsia="黑体"/>
          <w:sz w:val="24"/>
          <w:szCs w:val="24"/>
        </w:rPr>
      </w:pPr>
      <w:r>
        <w:rPr>
          <w:rFonts w:hint="eastAsia" w:ascii="黑体" w:hAnsi="黑体" w:eastAsia="黑体"/>
          <w:sz w:val="24"/>
          <w:szCs w:val="24"/>
        </w:rPr>
        <w:t>十一、推广应用的预期效果</w:t>
      </w:r>
    </w:p>
    <w:p>
      <w:pPr>
        <w:pStyle w:val="11"/>
        <w:ind w:left="0" w:firstLine="480" w:firstLineChars="200"/>
        <w:rPr>
          <w:sz w:val="24"/>
          <w:szCs w:val="24"/>
        </w:rPr>
      </w:pPr>
      <w:r>
        <w:rPr>
          <w:rFonts w:hint="eastAsia" w:hAnsi="宋体"/>
          <w:sz w:val="24"/>
          <w:szCs w:val="24"/>
        </w:rPr>
        <w:t>通过《软籽石榴土肥水管理规程》的制定、发布实施、推广应用，不但可以推动六盘水市软籽石榴产业的发展，</w:t>
      </w:r>
      <w:r>
        <w:rPr>
          <w:rFonts w:hint="eastAsia" w:hAnsi="宋体"/>
          <w:color w:val="000000" w:themeColor="text1"/>
          <w:sz w:val="24"/>
          <w:szCs w:val="24"/>
        </w:rPr>
        <w:t>帮助解决软籽石榴施肥管护等问题，</w:t>
      </w:r>
      <w:r>
        <w:rPr>
          <w:rFonts w:hint="eastAsia" w:hAnsi="宋体"/>
          <w:sz w:val="24"/>
          <w:szCs w:val="24"/>
        </w:rPr>
        <w:t>同时也可以为生产者提供技术支持，为六盘水市软籽石榴生产提供技术支撑。</w:t>
      </w:r>
      <w:r>
        <w:rPr>
          <w:rFonts w:hint="eastAsia"/>
          <w:sz w:val="24"/>
          <w:szCs w:val="24"/>
        </w:rPr>
        <w:t xml:space="preserve"> </w:t>
      </w:r>
    </w:p>
    <w:p>
      <w:pPr>
        <w:pStyle w:val="11"/>
        <w:ind w:left="0"/>
        <w:rPr>
          <w:rFonts w:hAnsi="宋体"/>
        </w:rPr>
      </w:pPr>
    </w:p>
    <w:p>
      <w:pPr>
        <w:pStyle w:val="11"/>
        <w:ind w:left="0"/>
        <w:jc w:val="right"/>
      </w:pPr>
      <w:r>
        <w:rPr>
          <w:rFonts w:hint="eastAsia" w:hAnsi="宋体"/>
        </w:rPr>
        <w:t>《软籽石榴土肥水管理规程》编制小组</w:t>
      </w:r>
    </w:p>
    <w:p>
      <w:pPr>
        <w:pStyle w:val="11"/>
        <w:ind w:firstLine="420" w:firstLineChars="200"/>
      </w:pPr>
      <w:r>
        <w:rPr>
          <w:rFonts w:hint="eastAsia"/>
        </w:rPr>
        <w:t xml:space="preserve">                    </w:t>
      </w:r>
    </w:p>
    <w:p>
      <w:pPr>
        <w:pStyle w:val="11"/>
        <w:ind w:firstLine="5355" w:firstLineChars="2550"/>
      </w:pPr>
      <w:r>
        <w:rPr>
          <w:rFonts w:hint="eastAsia"/>
        </w:rPr>
        <w:t>2022年4月</w:t>
      </w:r>
      <w:r>
        <w:rPr>
          <w:rFonts w:hint="eastAsia" w:hAnsi="宋体"/>
        </w:rPr>
        <w:t>12日</w:t>
      </w:r>
    </w:p>
    <w:p>
      <w:pPr>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864BB"/>
    <w:multiLevelType w:val="multilevel"/>
    <w:tmpl w:val="272864BB"/>
    <w:lvl w:ilvl="0" w:tentative="0">
      <w:start w:val="1"/>
      <w:numFmt w:val="decimal"/>
      <w:suff w:val="nothing"/>
      <w:lvlText w:val="表%1　"/>
      <w:lvlJc w:val="left"/>
      <w:pPr>
        <w:ind w:left="0" w:firstLine="0"/>
      </w:pPr>
      <w:rPr>
        <w:rFonts w:hint="eastAsia" w:ascii="黑体" w:hAnsi="Times New Roman" w:eastAsia="黑体"/>
        <w:b w:val="0"/>
        <w:i w:val="0"/>
        <w:sz w:val="21"/>
        <w:szCs w:val="21"/>
      </w:rPr>
    </w:lvl>
    <w:lvl w:ilvl="1" w:tentative="0">
      <w:start w:val="1"/>
      <w:numFmt w:val="decima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1984"/>
        </w:tabs>
        <w:ind w:left="1984" w:hanging="708"/>
      </w:pPr>
      <w:rPr>
        <w:rFonts w:hint="eastAsia" w:ascii="宋体" w:hAnsi="宋体" w:eastAsia="宋体"/>
      </w:rPr>
    </w:lvl>
    <w:lvl w:ilvl="4" w:tentative="0">
      <w:start w:val="1"/>
      <w:numFmt w:val="decimal"/>
      <w:lvlText w:val="%1.%2.%3.%4.%5"/>
      <w:lvlJc w:val="left"/>
      <w:pPr>
        <w:tabs>
          <w:tab w:val="left" w:pos="255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827"/>
        </w:tabs>
        <w:ind w:left="3827" w:hanging="1276"/>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
    <w:nsid w:val="6FB5531C"/>
    <w:multiLevelType w:val="multilevel"/>
    <w:tmpl w:val="6FB5531C"/>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0" w:firstLine="0"/>
      </w:pPr>
      <w:rPr>
        <w:rFonts w:hint="eastAsia" w:ascii="黑体" w:hAnsi="Times New Roman" w:eastAsia="黑体" w:cs="Times New Roman"/>
        <w:b w:val="0"/>
        <w:bCs w:val="0"/>
        <w:i w:val="0"/>
        <w:iCs w:val="0"/>
        <w:caps w:val="0"/>
        <w:spacing w:val="0"/>
        <w:sz w:val="21"/>
        <w:szCs w:val="21"/>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77E7"/>
    <w:rsid w:val="0025673E"/>
    <w:rsid w:val="00412C86"/>
    <w:rsid w:val="004438AB"/>
    <w:rsid w:val="00470A82"/>
    <w:rsid w:val="00486D86"/>
    <w:rsid w:val="004D38E5"/>
    <w:rsid w:val="00520D65"/>
    <w:rsid w:val="00604224"/>
    <w:rsid w:val="00731273"/>
    <w:rsid w:val="007722FF"/>
    <w:rsid w:val="007B77E7"/>
    <w:rsid w:val="007F7628"/>
    <w:rsid w:val="00815334"/>
    <w:rsid w:val="008D6095"/>
    <w:rsid w:val="00B94E53"/>
    <w:rsid w:val="00BB5CC9"/>
    <w:rsid w:val="00C76348"/>
    <w:rsid w:val="00DB6DED"/>
    <w:rsid w:val="00DF5460"/>
    <w:rsid w:val="0F9F2542"/>
    <w:rsid w:val="10B938A1"/>
    <w:rsid w:val="11537A88"/>
    <w:rsid w:val="15771B70"/>
    <w:rsid w:val="16980008"/>
    <w:rsid w:val="1D590DF3"/>
    <w:rsid w:val="300458FD"/>
    <w:rsid w:val="3CE75D72"/>
    <w:rsid w:val="474402F6"/>
    <w:rsid w:val="4EB12D6B"/>
    <w:rsid w:val="4EEF4D01"/>
    <w:rsid w:val="53941425"/>
    <w:rsid w:val="55713605"/>
    <w:rsid w:val="583848AE"/>
    <w:rsid w:val="61C86765"/>
    <w:rsid w:val="6296245F"/>
    <w:rsid w:val="66ED4AB6"/>
    <w:rsid w:val="6C652810"/>
    <w:rsid w:val="7114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basedOn w:val="1"/>
    <w:qFormat/>
    <w:uiPriority w:val="0"/>
    <w:pPr>
      <w:widowControl/>
      <w:autoSpaceDE w:val="0"/>
      <w:autoSpaceDN w:val="0"/>
      <w:ind w:firstLine="420" w:firstLineChars="200"/>
    </w:pPr>
    <w:rPr>
      <w:rFonts w:ascii="宋体" w:hAnsi="Times New Roman"/>
      <w:kern w:val="0"/>
    </w:rPr>
  </w:style>
  <w:style w:type="paragraph" w:customStyle="1" w:styleId="7">
    <w:name w:val="二级条标题"/>
    <w:basedOn w:val="1"/>
    <w:next w:val="6"/>
    <w:qFormat/>
    <w:uiPriority w:val="0"/>
    <w:pPr>
      <w:widowControl/>
      <w:spacing w:beforeLines="50" w:afterLines="50"/>
      <w:ind w:left="709"/>
      <w:jc w:val="left"/>
      <w:outlineLvl w:val="3"/>
    </w:pPr>
    <w:rPr>
      <w:rFonts w:ascii="黑体" w:hAnsi="Times New Roman" w:eastAsia="黑体"/>
      <w:kern w:val="0"/>
    </w:rPr>
  </w:style>
  <w:style w:type="paragraph" w:customStyle="1" w:styleId="8">
    <w:name w:val="章标题"/>
    <w:basedOn w:val="1"/>
    <w:next w:val="6"/>
    <w:qFormat/>
    <w:uiPriority w:val="0"/>
    <w:pPr>
      <w:widowControl/>
      <w:spacing w:beforeLines="100" w:afterLines="100"/>
      <w:outlineLvl w:val="1"/>
    </w:pPr>
    <w:rPr>
      <w:rFonts w:ascii="黑体" w:hAnsi="黑体" w:eastAsia="黑体" w:cs="宋体"/>
      <w:kern w:val="0"/>
    </w:rPr>
  </w:style>
  <w:style w:type="paragraph" w:customStyle="1" w:styleId="9">
    <w:name w:val="一级条标题"/>
    <w:basedOn w:val="1"/>
    <w:next w:val="6"/>
    <w:qFormat/>
    <w:uiPriority w:val="0"/>
    <w:pPr>
      <w:widowControl/>
      <w:spacing w:beforeLines="50" w:afterLines="50"/>
      <w:ind w:left="420"/>
      <w:jc w:val="left"/>
      <w:outlineLvl w:val="2"/>
    </w:pPr>
    <w:rPr>
      <w:rFonts w:ascii="黑体" w:hAnsi="黑体" w:eastAsia="黑体" w:cs="宋体"/>
      <w:kern w:val="0"/>
    </w:rPr>
  </w:style>
  <w:style w:type="paragraph" w:customStyle="1" w:styleId="10">
    <w:name w:val="正文表标题"/>
    <w:basedOn w:val="1"/>
    <w:next w:val="6"/>
    <w:qFormat/>
    <w:uiPriority w:val="0"/>
    <w:pPr>
      <w:widowControl/>
      <w:spacing w:beforeLines="50" w:afterLines="50"/>
      <w:jc w:val="center"/>
    </w:pPr>
    <w:rPr>
      <w:rFonts w:ascii="黑体" w:hAnsi="黑体" w:eastAsia="黑体" w:cs="宋体"/>
      <w:kern w:val="0"/>
    </w:rPr>
  </w:style>
  <w:style w:type="paragraph" w:customStyle="1" w:styleId="11">
    <w:name w:val="二级无"/>
    <w:basedOn w:val="1"/>
    <w:qFormat/>
    <w:uiPriority w:val="0"/>
    <w:pPr>
      <w:widowControl/>
      <w:ind w:left="709"/>
      <w:jc w:val="left"/>
      <w:outlineLvl w:val="3"/>
    </w:pPr>
    <w:rPr>
      <w:rFonts w:ascii="宋体" w:hAnsi="Times New Roman"/>
      <w:kern w:val="0"/>
    </w:rPr>
  </w:style>
  <w:style w:type="character" w:customStyle="1" w:styleId="12">
    <w:name w:val="页眉 Char"/>
    <w:basedOn w:val="5"/>
    <w:link w:val="3"/>
    <w:qFormat/>
    <w:uiPriority w:val="99"/>
    <w:rPr>
      <w:rFonts w:ascii="等线" w:hAnsi="等线" w:eastAsia="宋体" w:cs="Times New Roman"/>
      <w:kern w:val="2"/>
      <w:sz w:val="18"/>
      <w:szCs w:val="18"/>
    </w:rPr>
  </w:style>
  <w:style w:type="character" w:customStyle="1" w:styleId="13">
    <w:name w:val="页脚 Char"/>
    <w:basedOn w:val="5"/>
    <w:link w:val="2"/>
    <w:qFormat/>
    <w:uiPriority w:val="99"/>
    <w:rPr>
      <w:rFonts w:ascii="等线" w:hAnsi="等线"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360</Words>
  <Characters>2058</Characters>
  <Lines>17</Lines>
  <Paragraphs>4</Paragraphs>
  <TotalTime>0</TotalTime>
  <ScaleCrop>false</ScaleCrop>
  <LinksUpToDate>false</LinksUpToDate>
  <CharactersWithSpaces>2414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2022-04-12T09:36:00Z</dcterms:created>
  <dc:creator>Administrator</dc:creator>
  <cp:lastModifiedBy>ysgz</cp:lastModifiedBy>
  <dcterms:modified xsi:type="dcterms:W3CDTF">2022-04-19T10:54:42Z</dcterms:modified>
  <dc:title>《软籽石榴土肥水管理规程》编制说明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98BA1A4BB7114BF5B6468F618B966AC3</vt:lpwstr>
  </property>
</Properties>
</file>