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0" w:rsidRDefault="00E44002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《软籽石榴果实采收规范》编制说明</w:t>
      </w:r>
    </w:p>
    <w:p w:rsidR="00937A60" w:rsidRDefault="00E44002">
      <w:pPr>
        <w:ind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（征求意见稿）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一、立项背景及任务来源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sz w:val="24"/>
          <w:szCs w:val="24"/>
        </w:rPr>
        <w:t>立项背景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为全面贯彻党的十九大精神和新标准化法要求，落实《中共中央国务院关于开展质量提升行动的指导意见》和《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年全国标准化工作要点》，以习近平新时代中国特色社会主义思想为指导，围绕“五位一体”总体布局和“四个全面”战略布局，依托我市现有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6000</w:t>
      </w:r>
      <w:r>
        <w:rPr>
          <w:rFonts w:hint="eastAsia"/>
          <w:sz w:val="24"/>
          <w:szCs w:val="24"/>
        </w:rPr>
        <w:t>余公顷软籽石榴产业，着力推进软籽石榴产业相关标准化体系建设。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sz w:val="24"/>
          <w:szCs w:val="24"/>
        </w:rPr>
        <w:t>任务来源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proofErr w:type="gramStart"/>
      <w:r>
        <w:rPr>
          <w:rFonts w:hint="eastAsia"/>
          <w:sz w:val="24"/>
          <w:szCs w:val="24"/>
        </w:rPr>
        <w:t>推动盘州市软籽</w:t>
      </w:r>
      <w:proofErr w:type="gramEnd"/>
      <w:r>
        <w:rPr>
          <w:rFonts w:hint="eastAsia"/>
          <w:sz w:val="24"/>
          <w:szCs w:val="24"/>
        </w:rPr>
        <w:t>石榴产业高质量发展，</w:t>
      </w: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月，</w:t>
      </w:r>
      <w:proofErr w:type="gramStart"/>
      <w:r>
        <w:rPr>
          <w:rFonts w:hint="eastAsia"/>
          <w:sz w:val="24"/>
          <w:szCs w:val="24"/>
        </w:rPr>
        <w:t>由盘州市</w:t>
      </w:r>
      <w:proofErr w:type="gramEnd"/>
      <w:r>
        <w:rPr>
          <w:rFonts w:hint="eastAsia"/>
          <w:sz w:val="24"/>
          <w:szCs w:val="24"/>
        </w:rPr>
        <w:t>农业农村局、</w:t>
      </w:r>
      <w:proofErr w:type="gramStart"/>
      <w:r>
        <w:rPr>
          <w:rFonts w:hint="eastAsia"/>
          <w:sz w:val="24"/>
          <w:szCs w:val="24"/>
        </w:rPr>
        <w:t>盘州市</w:t>
      </w:r>
      <w:proofErr w:type="gramEnd"/>
      <w:r>
        <w:rPr>
          <w:rFonts w:hint="eastAsia"/>
          <w:sz w:val="24"/>
          <w:szCs w:val="24"/>
        </w:rPr>
        <w:t>市场监督管理局和贵州省</w:t>
      </w:r>
      <w:proofErr w:type="gramStart"/>
      <w:r>
        <w:rPr>
          <w:rFonts w:hint="eastAsia"/>
          <w:sz w:val="24"/>
          <w:szCs w:val="24"/>
        </w:rPr>
        <w:t>盘州景农</w:t>
      </w:r>
      <w:proofErr w:type="gramEnd"/>
      <w:r>
        <w:rPr>
          <w:rFonts w:hint="eastAsia"/>
          <w:sz w:val="24"/>
          <w:szCs w:val="24"/>
        </w:rPr>
        <w:t>开发投资有限责任公司筹备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盘州市软籽石榴产业标准化示范区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项目</w:t>
      </w:r>
      <w:proofErr w:type="gramStart"/>
      <w:r>
        <w:rPr>
          <w:sz w:val="24"/>
          <w:szCs w:val="24"/>
        </w:rPr>
        <w:t>申报申报</w:t>
      </w:r>
      <w:proofErr w:type="gramEnd"/>
      <w:r>
        <w:rPr>
          <w:sz w:val="24"/>
          <w:szCs w:val="24"/>
        </w:rPr>
        <w:t>资料。</w:t>
      </w: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sz w:val="24"/>
          <w:szCs w:val="24"/>
        </w:rPr>
        <w:t>日，贵州省市场监督管理局下达了《省市场监管局关于下达</w:t>
      </w:r>
      <w:r>
        <w:rPr>
          <w:sz w:val="24"/>
          <w:szCs w:val="24"/>
        </w:rPr>
        <w:t>2020</w:t>
      </w:r>
      <w:r>
        <w:rPr>
          <w:sz w:val="24"/>
          <w:szCs w:val="24"/>
        </w:rPr>
        <w:t>年省级农业标准化示范项目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通知》（</w:t>
      </w:r>
      <w:proofErr w:type="gramStart"/>
      <w:r>
        <w:rPr>
          <w:sz w:val="24"/>
          <w:szCs w:val="24"/>
        </w:rPr>
        <w:t>黔市监标函</w:t>
      </w:r>
      <w:proofErr w:type="gramEnd"/>
      <w:r>
        <w:rPr>
          <w:sz w:val="24"/>
          <w:szCs w:val="24"/>
        </w:rPr>
        <w:t>〔</w:t>
      </w:r>
      <w:r>
        <w:rPr>
          <w:sz w:val="24"/>
          <w:szCs w:val="24"/>
        </w:rPr>
        <w:t>2019</w:t>
      </w:r>
      <w:r>
        <w:rPr>
          <w:sz w:val="24"/>
          <w:szCs w:val="24"/>
        </w:rPr>
        <w:t>〕</w:t>
      </w:r>
      <w:r>
        <w:rPr>
          <w:sz w:val="24"/>
          <w:szCs w:val="24"/>
        </w:rPr>
        <w:t>48</w:t>
      </w:r>
      <w:r>
        <w:rPr>
          <w:sz w:val="24"/>
          <w:szCs w:val="24"/>
        </w:rPr>
        <w:t>号），同意创建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盘州市软籽石榴产业标准化示范区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项目。为扩大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盘州市软籽石榴产业标准化示范区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项目创建成效，充分发挥标准引领农业产业高质量发展的作用，</w:t>
      </w:r>
      <w:r>
        <w:rPr>
          <w:sz w:val="24"/>
          <w:szCs w:val="24"/>
        </w:rPr>
        <w:t>2020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sz w:val="24"/>
          <w:szCs w:val="24"/>
        </w:rPr>
        <w:t>月，</w:t>
      </w:r>
      <w:proofErr w:type="gramStart"/>
      <w:r>
        <w:rPr>
          <w:sz w:val="24"/>
          <w:szCs w:val="24"/>
        </w:rPr>
        <w:t>由盘州市</w:t>
      </w:r>
      <w:proofErr w:type="gramEnd"/>
      <w:r>
        <w:rPr>
          <w:sz w:val="24"/>
          <w:szCs w:val="24"/>
        </w:rPr>
        <w:t>农业农村局、</w:t>
      </w:r>
      <w:proofErr w:type="gramStart"/>
      <w:r>
        <w:rPr>
          <w:sz w:val="24"/>
          <w:szCs w:val="24"/>
        </w:rPr>
        <w:t>盘州市</w:t>
      </w:r>
      <w:proofErr w:type="gramEnd"/>
      <w:r>
        <w:rPr>
          <w:sz w:val="24"/>
          <w:szCs w:val="24"/>
        </w:rPr>
        <w:t>市场监督管理局共同向六盘水市农业农村局提出《盘州</w:t>
      </w:r>
      <w:r>
        <w:rPr>
          <w:sz w:val="24"/>
          <w:szCs w:val="24"/>
        </w:rPr>
        <w:t>市软籽石榴生产技术标准体系》立项评估，经六盘水市农业农村局组织专家评估后，认为《盘州市软籽石榴生产技术标准体系》的编制符合贵州省农业产业发展政策和需要，建议结合六盘水</w:t>
      </w:r>
      <w:proofErr w:type="gramStart"/>
      <w:r>
        <w:rPr>
          <w:sz w:val="24"/>
          <w:szCs w:val="24"/>
        </w:rPr>
        <w:t>市软籽</w:t>
      </w:r>
      <w:proofErr w:type="gramEnd"/>
      <w:r>
        <w:rPr>
          <w:sz w:val="24"/>
          <w:szCs w:val="24"/>
        </w:rPr>
        <w:t>石榴产业需要编制为六盘水市的地方标准体系发布，并结合软籽石榴</w:t>
      </w:r>
      <w:r>
        <w:rPr>
          <w:rFonts w:hint="eastAsia"/>
          <w:sz w:val="24"/>
          <w:szCs w:val="24"/>
        </w:rPr>
        <w:t>生产</w:t>
      </w:r>
      <w:r>
        <w:rPr>
          <w:sz w:val="24"/>
          <w:szCs w:val="24"/>
        </w:rPr>
        <w:t>需要，将该标准名称改为《</w:t>
      </w:r>
      <w:r>
        <w:rPr>
          <w:rFonts w:hint="eastAsia"/>
          <w:sz w:val="24"/>
          <w:szCs w:val="24"/>
        </w:rPr>
        <w:t>软籽石榴果实采收规范</w:t>
      </w:r>
      <w:r>
        <w:rPr>
          <w:sz w:val="24"/>
          <w:szCs w:val="24"/>
        </w:rPr>
        <w:t>》。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日，《省市场监管</w:t>
      </w:r>
      <w:r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关于同意立项制定〈地理标志产品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水城猕猴桃〉等</w:t>
      </w:r>
      <w:r>
        <w:rPr>
          <w:sz w:val="24"/>
          <w:szCs w:val="24"/>
        </w:rPr>
        <w:t>22</w:t>
      </w:r>
      <w:r>
        <w:rPr>
          <w:sz w:val="24"/>
          <w:szCs w:val="24"/>
        </w:rPr>
        <w:t>项六盘水市地方标准的批复》（</w:t>
      </w:r>
      <w:proofErr w:type="gramStart"/>
      <w:r>
        <w:rPr>
          <w:sz w:val="24"/>
          <w:szCs w:val="24"/>
        </w:rPr>
        <w:t>黔市监办</w:t>
      </w:r>
      <w:proofErr w:type="gramEnd"/>
      <w:r>
        <w:rPr>
          <w:sz w:val="24"/>
          <w:szCs w:val="24"/>
        </w:rPr>
        <w:t>函〔</w:t>
      </w:r>
      <w:r>
        <w:rPr>
          <w:sz w:val="24"/>
          <w:szCs w:val="24"/>
        </w:rPr>
        <w:t>2020</w:t>
      </w:r>
      <w:r>
        <w:rPr>
          <w:sz w:val="24"/>
          <w:szCs w:val="24"/>
        </w:rPr>
        <w:t>〕</w:t>
      </w:r>
      <w:r>
        <w:rPr>
          <w:sz w:val="24"/>
          <w:szCs w:val="24"/>
        </w:rPr>
        <w:t>470</w:t>
      </w:r>
      <w:r>
        <w:rPr>
          <w:sz w:val="24"/>
          <w:szCs w:val="24"/>
        </w:rPr>
        <w:t>号）</w:t>
      </w:r>
      <w:r>
        <w:rPr>
          <w:rFonts w:hint="eastAsia"/>
          <w:sz w:val="24"/>
          <w:szCs w:val="24"/>
        </w:rPr>
        <w:t>，同意地方标准《软籽石榴果实采收规范》编制立项</w:t>
      </w:r>
      <w:r>
        <w:rPr>
          <w:sz w:val="24"/>
          <w:szCs w:val="24"/>
        </w:rPr>
        <w:t>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二、工作内容简介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（一）标准起草</w:t>
      </w:r>
      <w:r>
        <w:rPr>
          <w:rFonts w:hint="eastAsia"/>
          <w:sz w:val="24"/>
          <w:szCs w:val="24"/>
        </w:rPr>
        <w:t>单位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文件起草单位：</w:t>
      </w:r>
      <w:proofErr w:type="gramStart"/>
      <w:r>
        <w:rPr>
          <w:rFonts w:hint="eastAsia"/>
          <w:sz w:val="24"/>
          <w:szCs w:val="24"/>
        </w:rPr>
        <w:t>盘州市</w:t>
      </w:r>
      <w:proofErr w:type="gramEnd"/>
      <w:r>
        <w:rPr>
          <w:rFonts w:hint="eastAsia"/>
          <w:sz w:val="24"/>
          <w:szCs w:val="24"/>
        </w:rPr>
        <w:t>市场监督管理局、</w:t>
      </w:r>
      <w:proofErr w:type="gramStart"/>
      <w:r>
        <w:rPr>
          <w:rFonts w:hint="eastAsia"/>
          <w:sz w:val="24"/>
          <w:szCs w:val="24"/>
        </w:rPr>
        <w:t>盘州市</w:t>
      </w:r>
      <w:proofErr w:type="gramEnd"/>
      <w:r>
        <w:rPr>
          <w:rFonts w:hint="eastAsia"/>
          <w:sz w:val="24"/>
          <w:szCs w:val="24"/>
        </w:rPr>
        <w:t>农业农村局、</w:t>
      </w:r>
      <w:proofErr w:type="gramStart"/>
      <w:r>
        <w:rPr>
          <w:rFonts w:hint="eastAsia"/>
          <w:sz w:val="24"/>
          <w:szCs w:val="24"/>
        </w:rPr>
        <w:t>盘州市</w:t>
      </w:r>
      <w:proofErr w:type="gramEnd"/>
      <w:r>
        <w:rPr>
          <w:rFonts w:hint="eastAsia"/>
          <w:sz w:val="24"/>
          <w:szCs w:val="24"/>
        </w:rPr>
        <w:t>检验检测中心、贵州省</w:t>
      </w:r>
      <w:proofErr w:type="gramStart"/>
      <w:r>
        <w:rPr>
          <w:rFonts w:hint="eastAsia"/>
          <w:sz w:val="24"/>
          <w:szCs w:val="24"/>
        </w:rPr>
        <w:t>盘州景农</w:t>
      </w:r>
      <w:proofErr w:type="gramEnd"/>
      <w:r>
        <w:rPr>
          <w:rFonts w:hint="eastAsia"/>
          <w:sz w:val="24"/>
          <w:szCs w:val="24"/>
        </w:rPr>
        <w:t>开发投资有限责任公司。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（二）本主要起草人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起草人员</w:t>
      </w:r>
      <w:r w:rsidR="0053585F">
        <w:rPr>
          <w:rFonts w:hint="eastAsia"/>
          <w:sz w:val="24"/>
          <w:szCs w:val="24"/>
        </w:rPr>
        <w:t>14人，其中：</w:t>
      </w:r>
      <w:r>
        <w:rPr>
          <w:rFonts w:hint="eastAsia"/>
          <w:sz w:val="24"/>
          <w:szCs w:val="24"/>
        </w:rPr>
        <w:t>高级工程师</w:t>
      </w:r>
      <w:r>
        <w:rPr>
          <w:rFonts w:hint="eastAsia"/>
          <w:sz w:val="24"/>
          <w:szCs w:val="24"/>
        </w:rPr>
        <w:t>1</w:t>
      </w:r>
      <w:r w:rsidR="0053585F">
        <w:rPr>
          <w:rFonts w:hint="eastAsia"/>
          <w:sz w:val="24"/>
          <w:szCs w:val="24"/>
        </w:rPr>
        <w:t>人、高级</w:t>
      </w:r>
      <w:r w:rsidR="0053585F" w:rsidRPr="0053585F">
        <w:rPr>
          <w:rFonts w:hint="eastAsia"/>
          <w:sz w:val="24"/>
          <w:szCs w:val="24"/>
        </w:rPr>
        <w:t>农艺师</w:t>
      </w:r>
      <w:r w:rsidR="0053585F">
        <w:rPr>
          <w:rFonts w:hint="eastAsia"/>
          <w:sz w:val="24"/>
          <w:szCs w:val="24"/>
        </w:rPr>
        <w:t>1人、工程师1人、</w:t>
      </w:r>
      <w:r>
        <w:rPr>
          <w:rFonts w:hint="eastAsia"/>
          <w:sz w:val="24"/>
          <w:szCs w:val="24"/>
        </w:rPr>
        <w:t>农艺师</w:t>
      </w:r>
      <w:r>
        <w:rPr>
          <w:rFonts w:hint="eastAsia"/>
          <w:sz w:val="24"/>
          <w:szCs w:val="24"/>
        </w:rPr>
        <w:t>3</w:t>
      </w:r>
      <w:r w:rsidR="0053585F">
        <w:rPr>
          <w:rFonts w:hint="eastAsia"/>
          <w:sz w:val="24"/>
          <w:szCs w:val="24"/>
        </w:rPr>
        <w:t>人、其他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人。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（三）工作开展情况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，结合软籽石榴育苗实际情况，完成文件初稿的</w:t>
      </w:r>
      <w:r>
        <w:rPr>
          <w:sz w:val="24"/>
          <w:szCs w:val="24"/>
        </w:rPr>
        <w:t>起草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年，该标准在软籽石榴育苗基地进行实施，并记录相关数据和对数据进行分析。</w:t>
      </w:r>
      <w:r w:rsidR="006673DE" w:rsidRPr="006673DE">
        <w:rPr>
          <w:rFonts w:hint="eastAsia"/>
          <w:sz w:val="24"/>
          <w:szCs w:val="24"/>
        </w:rPr>
        <w:t>在六盘水市市场监督管理局的业务指导和各相关单位共同努力下，</w:t>
      </w:r>
      <w:bookmarkStart w:id="0" w:name="_GoBack"/>
      <w:bookmarkEnd w:id="0"/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月进行修订形成征求意见稿。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三、标准制定原则和主要技术内容确定的依据及主要内容确定的依据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（一）标准制定原则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文件格式按和</w:t>
      </w:r>
      <w:r>
        <w:rPr>
          <w:rFonts w:hint="eastAsia"/>
          <w:sz w:val="24"/>
          <w:szCs w:val="24"/>
        </w:rPr>
        <w:t>条款确立按照</w:t>
      </w:r>
      <w:r>
        <w:rPr>
          <w:rFonts w:hint="eastAsia"/>
          <w:sz w:val="24"/>
          <w:szCs w:val="24"/>
        </w:rPr>
        <w:t>GB/T1.1-2020</w:t>
      </w:r>
      <w:r>
        <w:rPr>
          <w:rFonts w:hint="eastAsia"/>
          <w:sz w:val="24"/>
          <w:szCs w:val="24"/>
        </w:rPr>
        <w:t>《标准化工作导则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部份：标准化文件的机构和起草规则》进行</w:t>
      </w:r>
      <w:r>
        <w:rPr>
          <w:sz w:val="24"/>
          <w:szCs w:val="24"/>
        </w:rPr>
        <w:t>编写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GB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 20001.5-2017</w:t>
      </w:r>
      <w:r>
        <w:rPr>
          <w:rFonts w:hint="eastAsia"/>
          <w:sz w:val="24"/>
          <w:szCs w:val="24"/>
        </w:rPr>
        <w:t>《标准编写规则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部分：规范标准》</w:t>
      </w:r>
      <w:r>
        <w:rPr>
          <w:sz w:val="24"/>
          <w:szCs w:val="24"/>
        </w:rPr>
        <w:t>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rFonts w:ascii="宋体" w:eastAsia="宋体"/>
          <w:b/>
          <w:szCs w:val="20"/>
        </w:rPr>
      </w:pPr>
      <w:r>
        <w:rPr>
          <w:rFonts w:hint="eastAsia"/>
          <w:sz w:val="24"/>
          <w:szCs w:val="24"/>
        </w:rPr>
        <w:t>（二）主要技术内容确定的依据</w:t>
      </w:r>
    </w:p>
    <w:p w:rsidR="00937A60" w:rsidRDefault="00E44002">
      <w:pPr>
        <w:pStyle w:val="ad"/>
        <w:ind w:firstLine="480"/>
        <w:rPr>
          <w:rFonts w:ascii="黑体" w:hAnsi="黑体" w:cs="黑体"/>
          <w:sz w:val="32"/>
          <w:szCs w:val="32"/>
        </w:rPr>
      </w:pPr>
      <w:r>
        <w:rPr>
          <w:rFonts w:hint="eastAsia"/>
          <w:sz w:val="24"/>
          <w:szCs w:val="24"/>
        </w:rPr>
        <w:t>文件的编制</w:t>
      </w:r>
      <w:proofErr w:type="gramStart"/>
      <w:r>
        <w:rPr>
          <w:rFonts w:hint="eastAsia"/>
          <w:sz w:val="24"/>
          <w:szCs w:val="24"/>
        </w:rPr>
        <w:t>结合盘州市</w:t>
      </w:r>
      <w:proofErr w:type="gramEnd"/>
      <w:r>
        <w:rPr>
          <w:rFonts w:hint="eastAsia"/>
          <w:sz w:val="24"/>
          <w:szCs w:val="24"/>
        </w:rPr>
        <w:t>地理环境特点，参考了</w:t>
      </w:r>
      <w:r>
        <w:rPr>
          <w:rFonts w:hint="eastAsia"/>
          <w:sz w:val="24"/>
          <w:szCs w:val="24"/>
        </w:rPr>
        <w:t xml:space="preserve">NY/T 844 </w:t>
      </w:r>
      <w:r>
        <w:rPr>
          <w:rFonts w:hint="eastAsia"/>
          <w:sz w:val="24"/>
          <w:szCs w:val="24"/>
        </w:rPr>
        <w:t>《绿色食品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温带水果（石榴）》、</w:t>
      </w:r>
      <w:r>
        <w:rPr>
          <w:rFonts w:hint="eastAsia"/>
          <w:sz w:val="24"/>
          <w:szCs w:val="24"/>
        </w:rPr>
        <w:t xml:space="preserve">LY/T 2135 </w:t>
      </w:r>
      <w:r>
        <w:rPr>
          <w:rFonts w:hint="eastAsia"/>
          <w:sz w:val="24"/>
          <w:szCs w:val="24"/>
        </w:rPr>
        <w:t>《石榴质量等级》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 xml:space="preserve">DB34 T 311 </w:t>
      </w:r>
      <w:r>
        <w:rPr>
          <w:rFonts w:hint="eastAsia"/>
          <w:sz w:val="24"/>
          <w:szCs w:val="24"/>
        </w:rPr>
        <w:t>《淮北软籽石榴土、肥、水、花果管理及采收技术规程》等文献。</w:t>
      </w:r>
    </w:p>
    <w:p w:rsidR="00937A60" w:rsidRDefault="00E44002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主要技术指标的说明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采收准备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1.1 </w:t>
      </w:r>
      <w:r>
        <w:rPr>
          <w:rFonts w:hint="eastAsia"/>
          <w:sz w:val="24"/>
          <w:szCs w:val="24"/>
        </w:rPr>
        <w:t>停止灌水和施肥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采收前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天不可灌水和施肥，以免影响耐贮性。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1.2 </w:t>
      </w:r>
      <w:r>
        <w:rPr>
          <w:rFonts w:hint="eastAsia"/>
          <w:sz w:val="24"/>
          <w:szCs w:val="24"/>
        </w:rPr>
        <w:t>施药间隔期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采收前应停止施用农药，施药间隔期应符合</w:t>
      </w:r>
      <w:r>
        <w:rPr>
          <w:rFonts w:hint="eastAsia"/>
          <w:sz w:val="24"/>
          <w:szCs w:val="24"/>
        </w:rPr>
        <w:t>DB5202/T 26</w:t>
      </w:r>
      <w:r>
        <w:rPr>
          <w:rFonts w:hint="eastAsia"/>
          <w:sz w:val="24"/>
          <w:szCs w:val="24"/>
        </w:rPr>
        <w:t>的规定。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1.3 </w:t>
      </w:r>
      <w:r>
        <w:rPr>
          <w:rFonts w:hint="eastAsia"/>
          <w:sz w:val="24"/>
          <w:szCs w:val="24"/>
        </w:rPr>
        <w:t>检查果实成熟情况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1.4 </w:t>
      </w:r>
      <w:r>
        <w:rPr>
          <w:rFonts w:hint="eastAsia"/>
          <w:sz w:val="24"/>
          <w:szCs w:val="24"/>
        </w:rPr>
        <w:t>检查果实是否出现本品种固有的完熟特征，果面着色均匀，判断果实成熟度是否达到采收要求。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1.5 </w:t>
      </w:r>
      <w:r>
        <w:rPr>
          <w:rFonts w:hint="eastAsia"/>
          <w:sz w:val="24"/>
          <w:szCs w:val="24"/>
        </w:rPr>
        <w:t>现场检测可溶性固形物含量是否符合</w:t>
      </w:r>
      <w:r>
        <w:rPr>
          <w:rFonts w:hint="eastAsia"/>
          <w:sz w:val="24"/>
          <w:szCs w:val="24"/>
        </w:rPr>
        <w:t>DB5202/T 28</w:t>
      </w:r>
      <w:r>
        <w:rPr>
          <w:rFonts w:hint="eastAsia"/>
          <w:sz w:val="24"/>
          <w:szCs w:val="24"/>
        </w:rPr>
        <w:t>的规定。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1.6 </w:t>
      </w:r>
      <w:r>
        <w:rPr>
          <w:rFonts w:hint="eastAsia"/>
          <w:sz w:val="24"/>
          <w:szCs w:val="24"/>
        </w:rPr>
        <w:t>采收天气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应选择在无雨天采收，确保果面干燥无水；晴天采收应避开高温时段。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采收工具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软籽石榴采收应具备下列采收工具：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——光滑锋利的枝剪；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——方便、牢靠的双面果梯；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——清洁、无毒、无异味、光滑无毛刺的周转箱；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——手套等。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人员要求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</w:t>
      </w:r>
      <w:proofErr w:type="gramStart"/>
      <w:r>
        <w:rPr>
          <w:rFonts w:hint="eastAsia"/>
          <w:sz w:val="24"/>
          <w:szCs w:val="24"/>
        </w:rPr>
        <w:t>果人员</w:t>
      </w:r>
      <w:proofErr w:type="gramEnd"/>
      <w:r>
        <w:rPr>
          <w:rFonts w:hint="eastAsia"/>
          <w:sz w:val="24"/>
          <w:szCs w:val="24"/>
        </w:rPr>
        <w:t>应剪平指甲，带上手套。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采收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</w:t>
      </w:r>
      <w:r>
        <w:rPr>
          <w:rFonts w:hint="eastAsia"/>
          <w:sz w:val="24"/>
          <w:szCs w:val="24"/>
        </w:rPr>
        <w:t>采收顺序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采收由外到内，由下而上依次进行。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</w:t>
      </w:r>
      <w:r>
        <w:rPr>
          <w:rFonts w:hint="eastAsia"/>
          <w:sz w:val="24"/>
          <w:szCs w:val="24"/>
        </w:rPr>
        <w:t>采</w:t>
      </w:r>
      <w:proofErr w:type="gramStart"/>
      <w:r>
        <w:rPr>
          <w:rFonts w:hint="eastAsia"/>
          <w:sz w:val="24"/>
          <w:szCs w:val="24"/>
        </w:rPr>
        <w:t>果动作</w:t>
      </w:r>
      <w:proofErr w:type="gramEnd"/>
      <w:r>
        <w:rPr>
          <w:rFonts w:hint="eastAsia"/>
          <w:sz w:val="24"/>
          <w:szCs w:val="24"/>
        </w:rPr>
        <w:t>要求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5.3 </w:t>
      </w:r>
      <w:r>
        <w:rPr>
          <w:rFonts w:hint="eastAsia"/>
          <w:sz w:val="24"/>
          <w:szCs w:val="24"/>
        </w:rPr>
        <w:t>采果时一只手握果或托稳果，另一只手拿剪刀。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5.4 </w:t>
      </w:r>
      <w:r>
        <w:rPr>
          <w:rFonts w:hint="eastAsia"/>
          <w:sz w:val="24"/>
          <w:szCs w:val="24"/>
        </w:rPr>
        <w:t>采收时应按照“两剪法”执行，第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剪离果蒂</w:t>
      </w:r>
      <w:r>
        <w:rPr>
          <w:rFonts w:hint="eastAsia"/>
          <w:sz w:val="24"/>
          <w:szCs w:val="24"/>
        </w:rPr>
        <w:t>1cm</w:t>
      </w:r>
      <w:r>
        <w:rPr>
          <w:rFonts w:hint="eastAsia"/>
          <w:sz w:val="24"/>
          <w:szCs w:val="24"/>
        </w:rPr>
        <w:t>附近处剪下，再齐果蒂剪第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剪，果蒂应平整，萼片完整。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5.5 </w:t>
      </w:r>
      <w:r>
        <w:rPr>
          <w:rFonts w:hint="eastAsia"/>
          <w:sz w:val="24"/>
          <w:szCs w:val="24"/>
        </w:rPr>
        <w:t>采收时应轻拿果枝，轻放果实，避免对树体、果实造成损伤。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5.6 </w:t>
      </w:r>
      <w:r>
        <w:rPr>
          <w:rFonts w:hint="eastAsia"/>
          <w:sz w:val="24"/>
          <w:szCs w:val="24"/>
        </w:rPr>
        <w:t>注意事项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果实采下后应及时剔除病虫果、畸形果、伤果和裂果等，剔除的病虫果、畸形果、伤果和</w:t>
      </w:r>
      <w:r>
        <w:rPr>
          <w:rFonts w:hint="eastAsia"/>
          <w:sz w:val="24"/>
          <w:szCs w:val="24"/>
        </w:rPr>
        <w:t>裂果应及时移出果园并作无害化处理。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果实应轻装，不同等级的果实装箱后应分开堆放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采下的果实不应随地堆放和日晒雨淋。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分级、包装、贮藏和运输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分级应</w:t>
      </w:r>
      <w:proofErr w:type="gramEnd"/>
      <w:r>
        <w:rPr>
          <w:rFonts w:hint="eastAsia"/>
          <w:sz w:val="24"/>
          <w:szCs w:val="24"/>
        </w:rPr>
        <w:t>符合</w:t>
      </w:r>
      <w:r>
        <w:rPr>
          <w:rFonts w:hint="eastAsia"/>
          <w:sz w:val="24"/>
          <w:szCs w:val="24"/>
        </w:rPr>
        <w:t>DB5202/T 28</w:t>
      </w:r>
      <w:r>
        <w:rPr>
          <w:rFonts w:hint="eastAsia"/>
          <w:sz w:val="24"/>
          <w:szCs w:val="24"/>
        </w:rPr>
        <w:t>的规定，包装、贮存与运输符合</w:t>
      </w:r>
      <w:r>
        <w:rPr>
          <w:rFonts w:hint="eastAsia"/>
          <w:sz w:val="24"/>
          <w:szCs w:val="24"/>
        </w:rPr>
        <w:t>DB5202/T 29</w:t>
      </w:r>
      <w:r>
        <w:rPr>
          <w:rFonts w:hint="eastAsia"/>
          <w:sz w:val="24"/>
          <w:szCs w:val="24"/>
        </w:rPr>
        <w:t>的规定。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五、与现行相关法律、法规、规章及相关标准，特别是强制性标准的协调性</w:t>
      </w:r>
    </w:p>
    <w:p w:rsidR="00937A60" w:rsidRDefault="00E44002">
      <w:pPr>
        <w:pStyle w:val="ad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目前，尚无软籽石榴</w:t>
      </w:r>
      <w:r>
        <w:rPr>
          <w:rFonts w:hint="eastAsia"/>
          <w:sz w:val="24"/>
          <w:szCs w:val="24"/>
        </w:rPr>
        <w:t>采收</w:t>
      </w:r>
      <w:r>
        <w:rPr>
          <w:rFonts w:hint="eastAsia"/>
          <w:sz w:val="24"/>
          <w:szCs w:val="24"/>
        </w:rPr>
        <w:t>的国家标准、行业标准，贵州省也</w:t>
      </w:r>
      <w:proofErr w:type="gramStart"/>
      <w:r>
        <w:rPr>
          <w:rFonts w:hint="eastAsia"/>
          <w:sz w:val="24"/>
          <w:szCs w:val="24"/>
        </w:rPr>
        <w:t>未发布有软籽</w:t>
      </w:r>
      <w:proofErr w:type="gramEnd"/>
      <w:r>
        <w:rPr>
          <w:rFonts w:hint="eastAsia"/>
          <w:sz w:val="24"/>
          <w:szCs w:val="24"/>
        </w:rPr>
        <w:t>石榴育苗的相关地方标准，省外（安徽）发布有</w:t>
      </w:r>
      <w:r>
        <w:rPr>
          <w:rFonts w:hint="eastAsia"/>
          <w:sz w:val="24"/>
          <w:szCs w:val="24"/>
        </w:rPr>
        <w:t xml:space="preserve">DB34 T 311 </w:t>
      </w:r>
      <w:r>
        <w:rPr>
          <w:rFonts w:hint="eastAsia"/>
          <w:sz w:val="24"/>
          <w:szCs w:val="24"/>
        </w:rPr>
        <w:t>《淮北软籽石榴土、肥、水、花果管理及采收技术规程》</w:t>
      </w:r>
      <w:r>
        <w:rPr>
          <w:rFonts w:hint="eastAsia"/>
          <w:sz w:val="24"/>
          <w:szCs w:val="24"/>
        </w:rPr>
        <w:t>。地方标准《软籽石榴</w:t>
      </w:r>
      <w:r>
        <w:rPr>
          <w:rFonts w:hint="eastAsia"/>
          <w:sz w:val="24"/>
          <w:szCs w:val="24"/>
        </w:rPr>
        <w:t>采收</w:t>
      </w:r>
      <w:r>
        <w:rPr>
          <w:rFonts w:hint="eastAsia"/>
          <w:sz w:val="24"/>
          <w:szCs w:val="24"/>
        </w:rPr>
        <w:t>规范》制定，符合现行法律、法规、规章和产业政策的规定，与相关标准统一协调。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六、专利及涉及知识产权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本文件内容不涉及专利相关的知识产权。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七、分歧意见的处理经过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本文件在起草过程充分征求生产企业、政府监管部门等相关单位和专家意见和建议，通过共同讨论、协商，达成一致，无重大分歧意见。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八、标准作为强制性或推荐性地方标准的建议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建议作为推荐性标准贯彻与实施，由</w:t>
      </w:r>
      <w:r>
        <w:rPr>
          <w:rFonts w:hint="eastAsia"/>
          <w:sz w:val="24"/>
          <w:szCs w:val="24"/>
        </w:rPr>
        <w:t>六盘水市市场监督管理局</w:t>
      </w:r>
      <w:r>
        <w:rPr>
          <w:sz w:val="24"/>
          <w:szCs w:val="24"/>
        </w:rPr>
        <w:t>发布，并进一步加大宣传力度，尽快在</w:t>
      </w:r>
      <w:r>
        <w:rPr>
          <w:rFonts w:hint="eastAsia"/>
          <w:sz w:val="24"/>
          <w:szCs w:val="24"/>
        </w:rPr>
        <w:t>六盘水市相关</w:t>
      </w:r>
      <w:r>
        <w:rPr>
          <w:sz w:val="24"/>
          <w:szCs w:val="24"/>
        </w:rPr>
        <w:t>地区进行推广实施，增加</w:t>
      </w:r>
      <w:r>
        <w:rPr>
          <w:rFonts w:hint="eastAsia"/>
          <w:sz w:val="24"/>
          <w:szCs w:val="24"/>
        </w:rPr>
        <w:t>软籽石榴产业</w:t>
      </w:r>
      <w:r>
        <w:rPr>
          <w:sz w:val="24"/>
          <w:szCs w:val="24"/>
        </w:rPr>
        <w:t>的多元化与可持续发展。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九、贯彻标准的要求和措施建议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本文件发布后，相关单位应及时积极组织做好执行标准的各项工作，文件实施后应按标准要求组织生产、监督管理。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十、废止现行有关标准的建议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本标准为首次制定，无废止现行有关标准的建议。</w:t>
      </w:r>
    </w:p>
    <w:p w:rsidR="00937A60" w:rsidRDefault="00E44002">
      <w:pPr>
        <w:pStyle w:val="ae"/>
        <w:numPr>
          <w:ilvl w:val="0"/>
          <w:numId w:val="0"/>
        </w:num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十一、推广应用的预期效果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通过《软籽石榴</w:t>
      </w:r>
      <w:r>
        <w:rPr>
          <w:rFonts w:hint="eastAsia"/>
          <w:sz w:val="24"/>
          <w:szCs w:val="24"/>
        </w:rPr>
        <w:t>果实采收</w:t>
      </w:r>
      <w:r>
        <w:rPr>
          <w:rFonts w:hint="eastAsia"/>
          <w:sz w:val="24"/>
          <w:szCs w:val="24"/>
        </w:rPr>
        <w:t>规范》的制定、发布实施、推广应用，不但可以推动六盘水</w:t>
      </w:r>
      <w:proofErr w:type="gramStart"/>
      <w:r>
        <w:rPr>
          <w:rFonts w:hint="eastAsia"/>
          <w:sz w:val="24"/>
          <w:szCs w:val="24"/>
        </w:rPr>
        <w:t>市软籽</w:t>
      </w:r>
      <w:proofErr w:type="gramEnd"/>
      <w:r>
        <w:rPr>
          <w:rFonts w:hint="eastAsia"/>
          <w:sz w:val="24"/>
          <w:szCs w:val="24"/>
        </w:rPr>
        <w:t>石榴产业的发展，帮助解决软籽石榴软籽石榴新园建设及品种更换等问题，同时也可以为生产者提供技术支持，为六盘水</w:t>
      </w:r>
      <w:proofErr w:type="gramStart"/>
      <w:r>
        <w:rPr>
          <w:rFonts w:hint="eastAsia"/>
          <w:sz w:val="24"/>
          <w:szCs w:val="24"/>
        </w:rPr>
        <w:t>市软籽</w:t>
      </w:r>
      <w:proofErr w:type="gramEnd"/>
      <w:r>
        <w:rPr>
          <w:rFonts w:hint="eastAsia"/>
          <w:sz w:val="24"/>
          <w:szCs w:val="24"/>
        </w:rPr>
        <w:t>石榴生产提供技术支撑。</w:t>
      </w:r>
      <w:r>
        <w:rPr>
          <w:rFonts w:hint="eastAsia"/>
          <w:sz w:val="24"/>
          <w:szCs w:val="24"/>
        </w:rPr>
        <w:t xml:space="preserve"> </w:t>
      </w:r>
    </w:p>
    <w:p w:rsidR="00937A60" w:rsidRDefault="00E44002">
      <w:pPr>
        <w:pStyle w:val="ae"/>
        <w:numPr>
          <w:ilvl w:val="0"/>
          <w:numId w:val="0"/>
        </w:numPr>
        <w:ind w:left="1129"/>
        <w:jc w:val="right"/>
      </w:pPr>
      <w:r>
        <w:rPr>
          <w:rFonts w:hint="eastAsia"/>
        </w:rPr>
        <w:t>《软籽石榴</w:t>
      </w:r>
      <w:r>
        <w:rPr>
          <w:rFonts w:hint="eastAsia"/>
        </w:rPr>
        <w:t>果实采收</w:t>
      </w:r>
      <w:r>
        <w:rPr>
          <w:rFonts w:hint="eastAsia"/>
        </w:rPr>
        <w:t>规范》编制小组</w:t>
      </w:r>
    </w:p>
    <w:p w:rsidR="00937A60" w:rsidRDefault="00E44002">
      <w:pPr>
        <w:pStyle w:val="ae"/>
        <w:numPr>
          <w:ilvl w:val="0"/>
          <w:numId w:val="0"/>
        </w:numPr>
        <w:ind w:firstLineChars="200" w:firstLine="420"/>
        <w:jc w:val="right"/>
      </w:pPr>
      <w:r>
        <w:t xml:space="preserve">                    2022</w:t>
      </w:r>
      <w:r>
        <w:t>年</w:t>
      </w:r>
      <w:r>
        <w:t>4</w:t>
      </w:r>
      <w:r>
        <w:t>月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t>日</w:t>
      </w:r>
    </w:p>
    <w:p w:rsidR="00937A60" w:rsidRDefault="00937A6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7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02" w:rsidRDefault="00E44002" w:rsidP="0053585F">
      <w:r>
        <w:separator/>
      </w:r>
    </w:p>
  </w:endnote>
  <w:endnote w:type="continuationSeparator" w:id="0">
    <w:p w:rsidR="00E44002" w:rsidRDefault="00E44002" w:rsidP="0053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02" w:rsidRDefault="00E44002" w:rsidP="0053585F">
      <w:r>
        <w:separator/>
      </w:r>
    </w:p>
  </w:footnote>
  <w:footnote w:type="continuationSeparator" w:id="0">
    <w:p w:rsidR="00E44002" w:rsidRDefault="00E44002" w:rsidP="0053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 w:rsidP="0053585F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5F" w:rsidRDefault="005358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>
      <w:start w:val="1"/>
      <w:numFmt w:val="none"/>
      <w:pStyle w:val="a3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02882"/>
    <w:rsid w:val="002E20DF"/>
    <w:rsid w:val="00502EC1"/>
    <w:rsid w:val="0053585F"/>
    <w:rsid w:val="006673DE"/>
    <w:rsid w:val="007F7EE1"/>
    <w:rsid w:val="00937A60"/>
    <w:rsid w:val="00D6764F"/>
    <w:rsid w:val="00E44002"/>
    <w:rsid w:val="012B5603"/>
    <w:rsid w:val="01437C9C"/>
    <w:rsid w:val="014D3D48"/>
    <w:rsid w:val="01A83CE1"/>
    <w:rsid w:val="02A20D8B"/>
    <w:rsid w:val="02DD56BC"/>
    <w:rsid w:val="031050B9"/>
    <w:rsid w:val="03176EA4"/>
    <w:rsid w:val="033E74E3"/>
    <w:rsid w:val="03A2514E"/>
    <w:rsid w:val="03C70711"/>
    <w:rsid w:val="047C77ED"/>
    <w:rsid w:val="04A61688"/>
    <w:rsid w:val="04C151E9"/>
    <w:rsid w:val="05997E4C"/>
    <w:rsid w:val="05C105F1"/>
    <w:rsid w:val="05F419A4"/>
    <w:rsid w:val="0701532F"/>
    <w:rsid w:val="07193E80"/>
    <w:rsid w:val="073039D0"/>
    <w:rsid w:val="074D47BE"/>
    <w:rsid w:val="07AC7C67"/>
    <w:rsid w:val="083975B9"/>
    <w:rsid w:val="08E63D07"/>
    <w:rsid w:val="0A365AFE"/>
    <w:rsid w:val="0A3F43E7"/>
    <w:rsid w:val="0A9F4195"/>
    <w:rsid w:val="0AB46C12"/>
    <w:rsid w:val="0ADB31F7"/>
    <w:rsid w:val="0ADF449B"/>
    <w:rsid w:val="0B301D77"/>
    <w:rsid w:val="0B446AEB"/>
    <w:rsid w:val="0B533BF3"/>
    <w:rsid w:val="0B786AD4"/>
    <w:rsid w:val="0B850F03"/>
    <w:rsid w:val="0B8C1CD4"/>
    <w:rsid w:val="0BC67518"/>
    <w:rsid w:val="0C1A661C"/>
    <w:rsid w:val="0C2D0D9E"/>
    <w:rsid w:val="0C395D29"/>
    <w:rsid w:val="0C574B99"/>
    <w:rsid w:val="0CE147F7"/>
    <w:rsid w:val="0D5F07E4"/>
    <w:rsid w:val="0D7D3C62"/>
    <w:rsid w:val="0DA76767"/>
    <w:rsid w:val="0E65488D"/>
    <w:rsid w:val="0E960609"/>
    <w:rsid w:val="0F06748F"/>
    <w:rsid w:val="0F2B7B3A"/>
    <w:rsid w:val="0F313A21"/>
    <w:rsid w:val="0F725AC2"/>
    <w:rsid w:val="0FF360FE"/>
    <w:rsid w:val="100A6070"/>
    <w:rsid w:val="1018279D"/>
    <w:rsid w:val="10326B45"/>
    <w:rsid w:val="110B348B"/>
    <w:rsid w:val="112E5A3F"/>
    <w:rsid w:val="113877E7"/>
    <w:rsid w:val="11FA5B68"/>
    <w:rsid w:val="12543375"/>
    <w:rsid w:val="12A45576"/>
    <w:rsid w:val="12AB433E"/>
    <w:rsid w:val="12CC418C"/>
    <w:rsid w:val="12CE3848"/>
    <w:rsid w:val="13096A0E"/>
    <w:rsid w:val="134603AA"/>
    <w:rsid w:val="135E38F2"/>
    <w:rsid w:val="1402741B"/>
    <w:rsid w:val="1426503C"/>
    <w:rsid w:val="1446231B"/>
    <w:rsid w:val="147E62FB"/>
    <w:rsid w:val="153C6698"/>
    <w:rsid w:val="15572101"/>
    <w:rsid w:val="157E498E"/>
    <w:rsid w:val="15CC7428"/>
    <w:rsid w:val="163A5E80"/>
    <w:rsid w:val="163B7118"/>
    <w:rsid w:val="1691199B"/>
    <w:rsid w:val="16924753"/>
    <w:rsid w:val="16A001AA"/>
    <w:rsid w:val="16DA52B6"/>
    <w:rsid w:val="16EA3A74"/>
    <w:rsid w:val="16F05D79"/>
    <w:rsid w:val="17D90F86"/>
    <w:rsid w:val="184A7FFE"/>
    <w:rsid w:val="18522460"/>
    <w:rsid w:val="194D1BFB"/>
    <w:rsid w:val="19B46F39"/>
    <w:rsid w:val="19C95609"/>
    <w:rsid w:val="19CB1E7F"/>
    <w:rsid w:val="19CD53D7"/>
    <w:rsid w:val="1A6A6494"/>
    <w:rsid w:val="1AB31FB2"/>
    <w:rsid w:val="1AF851FC"/>
    <w:rsid w:val="1AFC49F7"/>
    <w:rsid w:val="1B3C42D8"/>
    <w:rsid w:val="1B4D474E"/>
    <w:rsid w:val="1B80591D"/>
    <w:rsid w:val="1B9E52BE"/>
    <w:rsid w:val="1BDD2A3E"/>
    <w:rsid w:val="1C0D0A38"/>
    <w:rsid w:val="1C2A60BE"/>
    <w:rsid w:val="1CBB07E9"/>
    <w:rsid w:val="1CBB4733"/>
    <w:rsid w:val="1CD8224E"/>
    <w:rsid w:val="1CE8465E"/>
    <w:rsid w:val="1D183578"/>
    <w:rsid w:val="1D343FB6"/>
    <w:rsid w:val="1D91717E"/>
    <w:rsid w:val="1E8E061B"/>
    <w:rsid w:val="1ECE4BF1"/>
    <w:rsid w:val="1EDE659C"/>
    <w:rsid w:val="1F5110DE"/>
    <w:rsid w:val="1FA859E5"/>
    <w:rsid w:val="208679F7"/>
    <w:rsid w:val="20C067BC"/>
    <w:rsid w:val="20EA1D19"/>
    <w:rsid w:val="2216663C"/>
    <w:rsid w:val="22170AD9"/>
    <w:rsid w:val="22251064"/>
    <w:rsid w:val="22777495"/>
    <w:rsid w:val="227808E5"/>
    <w:rsid w:val="227E2248"/>
    <w:rsid w:val="230D76B1"/>
    <w:rsid w:val="232A2FF9"/>
    <w:rsid w:val="237F5D62"/>
    <w:rsid w:val="2391638A"/>
    <w:rsid w:val="23A3501E"/>
    <w:rsid w:val="23E65EAF"/>
    <w:rsid w:val="24596763"/>
    <w:rsid w:val="249E2910"/>
    <w:rsid w:val="24AB6E8B"/>
    <w:rsid w:val="24BD438C"/>
    <w:rsid w:val="25C76AB2"/>
    <w:rsid w:val="2639288C"/>
    <w:rsid w:val="263A0DBE"/>
    <w:rsid w:val="26610153"/>
    <w:rsid w:val="27165388"/>
    <w:rsid w:val="271D15A5"/>
    <w:rsid w:val="275B727A"/>
    <w:rsid w:val="280D3C8B"/>
    <w:rsid w:val="28347C4B"/>
    <w:rsid w:val="2835224A"/>
    <w:rsid w:val="285E6062"/>
    <w:rsid w:val="288D607C"/>
    <w:rsid w:val="29007BD3"/>
    <w:rsid w:val="29A43A0C"/>
    <w:rsid w:val="2A5B52B4"/>
    <w:rsid w:val="2A8801C2"/>
    <w:rsid w:val="2B050A39"/>
    <w:rsid w:val="2B121728"/>
    <w:rsid w:val="2B400C25"/>
    <w:rsid w:val="2B6D1F7D"/>
    <w:rsid w:val="2BB0795B"/>
    <w:rsid w:val="2BCA64B7"/>
    <w:rsid w:val="2C125262"/>
    <w:rsid w:val="2C583A64"/>
    <w:rsid w:val="2C9B44CB"/>
    <w:rsid w:val="2CC63034"/>
    <w:rsid w:val="2CF00429"/>
    <w:rsid w:val="2D22227B"/>
    <w:rsid w:val="2D507B71"/>
    <w:rsid w:val="2D535DA4"/>
    <w:rsid w:val="2D651054"/>
    <w:rsid w:val="2DA6296B"/>
    <w:rsid w:val="2DEA2CAE"/>
    <w:rsid w:val="2DF26682"/>
    <w:rsid w:val="2E321F51"/>
    <w:rsid w:val="2E517977"/>
    <w:rsid w:val="2E8B665B"/>
    <w:rsid w:val="2EA00337"/>
    <w:rsid w:val="2FCB139D"/>
    <w:rsid w:val="2FF564AC"/>
    <w:rsid w:val="30267754"/>
    <w:rsid w:val="3061281B"/>
    <w:rsid w:val="30F31A27"/>
    <w:rsid w:val="31B63287"/>
    <w:rsid w:val="327819A3"/>
    <w:rsid w:val="32997860"/>
    <w:rsid w:val="32D47DC4"/>
    <w:rsid w:val="330469DC"/>
    <w:rsid w:val="333E79DD"/>
    <w:rsid w:val="349247F5"/>
    <w:rsid w:val="351539B4"/>
    <w:rsid w:val="3572799D"/>
    <w:rsid w:val="359C09BA"/>
    <w:rsid w:val="35B857DB"/>
    <w:rsid w:val="35EB0AA5"/>
    <w:rsid w:val="36840E7E"/>
    <w:rsid w:val="369467F6"/>
    <w:rsid w:val="36DB4188"/>
    <w:rsid w:val="36FA2805"/>
    <w:rsid w:val="37B5044A"/>
    <w:rsid w:val="37E125EF"/>
    <w:rsid w:val="37F76B0F"/>
    <w:rsid w:val="38131CF3"/>
    <w:rsid w:val="3845787B"/>
    <w:rsid w:val="3885743B"/>
    <w:rsid w:val="38AC5468"/>
    <w:rsid w:val="38B820EB"/>
    <w:rsid w:val="38CE7CE3"/>
    <w:rsid w:val="38DC6026"/>
    <w:rsid w:val="38FB78E0"/>
    <w:rsid w:val="394B125F"/>
    <w:rsid w:val="396619D0"/>
    <w:rsid w:val="399A2A16"/>
    <w:rsid w:val="39A73834"/>
    <w:rsid w:val="3A344DAF"/>
    <w:rsid w:val="3A8C4AF7"/>
    <w:rsid w:val="3ACB3596"/>
    <w:rsid w:val="3AF4115A"/>
    <w:rsid w:val="3BFC49CA"/>
    <w:rsid w:val="3C2721F6"/>
    <w:rsid w:val="3C4709DA"/>
    <w:rsid w:val="3C962579"/>
    <w:rsid w:val="3CEF1625"/>
    <w:rsid w:val="3CF25AF7"/>
    <w:rsid w:val="3D273987"/>
    <w:rsid w:val="3D4B395B"/>
    <w:rsid w:val="3DB1169A"/>
    <w:rsid w:val="3DE32A8E"/>
    <w:rsid w:val="3E1E221C"/>
    <w:rsid w:val="3E256345"/>
    <w:rsid w:val="3E3143FD"/>
    <w:rsid w:val="3E5C591E"/>
    <w:rsid w:val="3EF00B06"/>
    <w:rsid w:val="3F4D6894"/>
    <w:rsid w:val="3FA541A4"/>
    <w:rsid w:val="3FD5240B"/>
    <w:rsid w:val="405A57B1"/>
    <w:rsid w:val="408138B9"/>
    <w:rsid w:val="40BB2DD0"/>
    <w:rsid w:val="4119031F"/>
    <w:rsid w:val="4228639B"/>
    <w:rsid w:val="422A159A"/>
    <w:rsid w:val="42592DDF"/>
    <w:rsid w:val="42D55F09"/>
    <w:rsid w:val="432F7DCC"/>
    <w:rsid w:val="433413B9"/>
    <w:rsid w:val="435117C9"/>
    <w:rsid w:val="436D4129"/>
    <w:rsid w:val="44164E4E"/>
    <w:rsid w:val="44E46390"/>
    <w:rsid w:val="44F14D27"/>
    <w:rsid w:val="44F9452F"/>
    <w:rsid w:val="45054FBA"/>
    <w:rsid w:val="455C20BF"/>
    <w:rsid w:val="457A7D52"/>
    <w:rsid w:val="45DE6784"/>
    <w:rsid w:val="45F54EB4"/>
    <w:rsid w:val="465A4B84"/>
    <w:rsid w:val="4683736B"/>
    <w:rsid w:val="469E2050"/>
    <w:rsid w:val="46E44703"/>
    <w:rsid w:val="47337583"/>
    <w:rsid w:val="47594686"/>
    <w:rsid w:val="47901775"/>
    <w:rsid w:val="47A46895"/>
    <w:rsid w:val="47E06376"/>
    <w:rsid w:val="489A751F"/>
    <w:rsid w:val="48D80297"/>
    <w:rsid w:val="4A4E6C01"/>
    <w:rsid w:val="4AF41989"/>
    <w:rsid w:val="4B227D7E"/>
    <w:rsid w:val="4B8533FD"/>
    <w:rsid w:val="4BE027B0"/>
    <w:rsid w:val="4BE156B5"/>
    <w:rsid w:val="4C2D67B8"/>
    <w:rsid w:val="4C305D4A"/>
    <w:rsid w:val="4CB9030B"/>
    <w:rsid w:val="4CBC437B"/>
    <w:rsid w:val="4CF01050"/>
    <w:rsid w:val="4D032E05"/>
    <w:rsid w:val="4D5114D8"/>
    <w:rsid w:val="4D8D4E6B"/>
    <w:rsid w:val="4D986A6A"/>
    <w:rsid w:val="4F6C79A3"/>
    <w:rsid w:val="4F8847C5"/>
    <w:rsid w:val="4FBA06F6"/>
    <w:rsid w:val="4FC04037"/>
    <w:rsid w:val="4FDF510D"/>
    <w:rsid w:val="50050223"/>
    <w:rsid w:val="500C7873"/>
    <w:rsid w:val="504A3A78"/>
    <w:rsid w:val="5060304C"/>
    <w:rsid w:val="509E4209"/>
    <w:rsid w:val="510A6052"/>
    <w:rsid w:val="5156444F"/>
    <w:rsid w:val="516A7EFA"/>
    <w:rsid w:val="51874ACC"/>
    <w:rsid w:val="5197500E"/>
    <w:rsid w:val="51C77793"/>
    <w:rsid w:val="520776CE"/>
    <w:rsid w:val="520D4263"/>
    <w:rsid w:val="520F4D5E"/>
    <w:rsid w:val="538537C0"/>
    <w:rsid w:val="545A4078"/>
    <w:rsid w:val="546C32F9"/>
    <w:rsid w:val="552D4A89"/>
    <w:rsid w:val="552F5DB1"/>
    <w:rsid w:val="55875381"/>
    <w:rsid w:val="55DF2C65"/>
    <w:rsid w:val="55ED7E38"/>
    <w:rsid w:val="56A56DB4"/>
    <w:rsid w:val="56F7226E"/>
    <w:rsid w:val="5717133F"/>
    <w:rsid w:val="57373FC3"/>
    <w:rsid w:val="57BD61D1"/>
    <w:rsid w:val="58263E06"/>
    <w:rsid w:val="582E0540"/>
    <w:rsid w:val="585A0A9F"/>
    <w:rsid w:val="5889254E"/>
    <w:rsid w:val="58E8486B"/>
    <w:rsid w:val="590E039B"/>
    <w:rsid w:val="59223A38"/>
    <w:rsid w:val="593A7DB0"/>
    <w:rsid w:val="5957664E"/>
    <w:rsid w:val="598F0C65"/>
    <w:rsid w:val="59966AFC"/>
    <w:rsid w:val="5A1E5C67"/>
    <w:rsid w:val="5A3C03EA"/>
    <w:rsid w:val="5A4A5BA3"/>
    <w:rsid w:val="5A57193A"/>
    <w:rsid w:val="5AB67E37"/>
    <w:rsid w:val="5ABB371B"/>
    <w:rsid w:val="5AFD0975"/>
    <w:rsid w:val="5B4A5024"/>
    <w:rsid w:val="5B78227D"/>
    <w:rsid w:val="5BAA0302"/>
    <w:rsid w:val="5BC321AC"/>
    <w:rsid w:val="5BF81AAB"/>
    <w:rsid w:val="5C061B02"/>
    <w:rsid w:val="5C142257"/>
    <w:rsid w:val="5C8E07CA"/>
    <w:rsid w:val="5C906296"/>
    <w:rsid w:val="5CE451E5"/>
    <w:rsid w:val="5CFD46DB"/>
    <w:rsid w:val="5D1D3DE7"/>
    <w:rsid w:val="5D2712AF"/>
    <w:rsid w:val="5D6F5743"/>
    <w:rsid w:val="5DA571B3"/>
    <w:rsid w:val="5DC922F6"/>
    <w:rsid w:val="5E3E3177"/>
    <w:rsid w:val="5E7A0047"/>
    <w:rsid w:val="5E835987"/>
    <w:rsid w:val="5E8D6BA9"/>
    <w:rsid w:val="5EA22ACE"/>
    <w:rsid w:val="5ECE1E7E"/>
    <w:rsid w:val="5F504144"/>
    <w:rsid w:val="5F876D28"/>
    <w:rsid w:val="5FE729DA"/>
    <w:rsid w:val="5FFF31A6"/>
    <w:rsid w:val="60CE113B"/>
    <w:rsid w:val="616D5095"/>
    <w:rsid w:val="61A6481F"/>
    <w:rsid w:val="628A4F52"/>
    <w:rsid w:val="62E21FE6"/>
    <w:rsid w:val="62FE122A"/>
    <w:rsid w:val="6317527C"/>
    <w:rsid w:val="63A367CE"/>
    <w:rsid w:val="6479634C"/>
    <w:rsid w:val="65147AD0"/>
    <w:rsid w:val="6564542E"/>
    <w:rsid w:val="65A818DF"/>
    <w:rsid w:val="65F22540"/>
    <w:rsid w:val="6662215C"/>
    <w:rsid w:val="666A77F1"/>
    <w:rsid w:val="666B5E4F"/>
    <w:rsid w:val="67D143D7"/>
    <w:rsid w:val="684E5BF3"/>
    <w:rsid w:val="68892290"/>
    <w:rsid w:val="68AB2C4D"/>
    <w:rsid w:val="699D2AE3"/>
    <w:rsid w:val="69B15296"/>
    <w:rsid w:val="6A183525"/>
    <w:rsid w:val="6AA411A0"/>
    <w:rsid w:val="6B5C62EF"/>
    <w:rsid w:val="6B8F59ED"/>
    <w:rsid w:val="6C0A48F6"/>
    <w:rsid w:val="6C0D35E3"/>
    <w:rsid w:val="6C1F2FEE"/>
    <w:rsid w:val="6C4F56A4"/>
    <w:rsid w:val="6C830B61"/>
    <w:rsid w:val="6CF956CE"/>
    <w:rsid w:val="6D203DD7"/>
    <w:rsid w:val="6D2224E6"/>
    <w:rsid w:val="6D334C41"/>
    <w:rsid w:val="6D4954C8"/>
    <w:rsid w:val="6D5665E3"/>
    <w:rsid w:val="6DDE6712"/>
    <w:rsid w:val="6E2F320F"/>
    <w:rsid w:val="6E4442CF"/>
    <w:rsid w:val="6E59429F"/>
    <w:rsid w:val="6ED175AB"/>
    <w:rsid w:val="6F4402E1"/>
    <w:rsid w:val="6F8E5FAC"/>
    <w:rsid w:val="6FBB0112"/>
    <w:rsid w:val="6FE1243F"/>
    <w:rsid w:val="70244AAE"/>
    <w:rsid w:val="703231C7"/>
    <w:rsid w:val="705B5186"/>
    <w:rsid w:val="706E4EB9"/>
    <w:rsid w:val="70AE746B"/>
    <w:rsid w:val="70B50685"/>
    <w:rsid w:val="70C725FD"/>
    <w:rsid w:val="70CA5BA3"/>
    <w:rsid w:val="712B4833"/>
    <w:rsid w:val="714F19D5"/>
    <w:rsid w:val="71881C09"/>
    <w:rsid w:val="71BB424F"/>
    <w:rsid w:val="71D136FD"/>
    <w:rsid w:val="71E37CBE"/>
    <w:rsid w:val="721620A6"/>
    <w:rsid w:val="7262749E"/>
    <w:rsid w:val="72ED47BB"/>
    <w:rsid w:val="72F70D5C"/>
    <w:rsid w:val="733A42E8"/>
    <w:rsid w:val="73564F20"/>
    <w:rsid w:val="73D634A1"/>
    <w:rsid w:val="7431619E"/>
    <w:rsid w:val="744D337A"/>
    <w:rsid w:val="745A5E80"/>
    <w:rsid w:val="74FA393B"/>
    <w:rsid w:val="75043C04"/>
    <w:rsid w:val="75092462"/>
    <w:rsid w:val="751F64CF"/>
    <w:rsid w:val="754937FF"/>
    <w:rsid w:val="754E2C11"/>
    <w:rsid w:val="758B2E9A"/>
    <w:rsid w:val="76373928"/>
    <w:rsid w:val="768A0C1F"/>
    <w:rsid w:val="76A1453E"/>
    <w:rsid w:val="76BF28D3"/>
    <w:rsid w:val="76FC20C9"/>
    <w:rsid w:val="77003C30"/>
    <w:rsid w:val="77561285"/>
    <w:rsid w:val="77622238"/>
    <w:rsid w:val="77BA5614"/>
    <w:rsid w:val="77F16219"/>
    <w:rsid w:val="78097CF2"/>
    <w:rsid w:val="782C514A"/>
    <w:rsid w:val="78872335"/>
    <w:rsid w:val="78CE2FFB"/>
    <w:rsid w:val="791C48D7"/>
    <w:rsid w:val="794C5FB4"/>
    <w:rsid w:val="7965200D"/>
    <w:rsid w:val="79786DA9"/>
    <w:rsid w:val="79824F2F"/>
    <w:rsid w:val="79947803"/>
    <w:rsid w:val="79F31623"/>
    <w:rsid w:val="7A426EAB"/>
    <w:rsid w:val="7A486DC7"/>
    <w:rsid w:val="7B490347"/>
    <w:rsid w:val="7B4A4D7A"/>
    <w:rsid w:val="7B8368A0"/>
    <w:rsid w:val="7B913BC5"/>
    <w:rsid w:val="7BA4332A"/>
    <w:rsid w:val="7C287068"/>
    <w:rsid w:val="7C5A1B95"/>
    <w:rsid w:val="7C602882"/>
    <w:rsid w:val="7CCC79C9"/>
    <w:rsid w:val="7D222BBE"/>
    <w:rsid w:val="7D25076C"/>
    <w:rsid w:val="7D2B4535"/>
    <w:rsid w:val="7D357E9B"/>
    <w:rsid w:val="7D541CBA"/>
    <w:rsid w:val="7D9A741F"/>
    <w:rsid w:val="7E5A3539"/>
    <w:rsid w:val="7EB0328E"/>
    <w:rsid w:val="7EEB3B79"/>
    <w:rsid w:val="7EF46293"/>
    <w:rsid w:val="7F0013BA"/>
    <w:rsid w:val="7F67313E"/>
    <w:rsid w:val="7FA02E56"/>
    <w:rsid w:val="7FA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4"/>
    <w:next w:val="a4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-1">
    <w:name w:val="正文-公1"/>
    <w:basedOn w:val="10"/>
    <w:next w:val="a8"/>
    <w:qFormat/>
    <w:pPr>
      <w:ind w:firstLineChars="200" w:firstLine="200"/>
    </w:pPr>
    <w:rPr>
      <w:szCs w:val="21"/>
    </w:rPr>
  </w:style>
  <w:style w:type="paragraph" w:customStyle="1" w:styleId="10">
    <w:name w:val="正文1"/>
    <w:next w:val="-1"/>
    <w:qFormat/>
    <w:pPr>
      <w:jc w:val="both"/>
    </w:pPr>
    <w:rPr>
      <w:rFonts w:ascii="Calibri" w:hAnsi="Calibri" w:cs="黑体"/>
      <w:sz w:val="21"/>
      <w:szCs w:val="22"/>
    </w:rPr>
  </w:style>
  <w:style w:type="paragraph" w:styleId="a8">
    <w:name w:val="header"/>
    <w:basedOn w:val="a4"/>
    <w:next w:val="a4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9">
    <w:name w:val="footer"/>
    <w:basedOn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4"/>
    <w:qFormat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6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5"/>
    <w:qFormat/>
    <w:rPr>
      <w:i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e">
    <w:name w:val="二级无"/>
    <w:basedOn w:val="a1"/>
    <w:qFormat/>
    <w:pPr>
      <w:spacing w:beforeLines="0" w:before="0" w:afterLines="0" w:after="0"/>
    </w:pPr>
    <w:rPr>
      <w:rFonts w:ascii="宋体" w:eastAsia="宋体"/>
    </w:rPr>
  </w:style>
  <w:style w:type="paragraph" w:customStyle="1" w:styleId="af">
    <w:name w:val="三级无"/>
    <w:basedOn w:val="a2"/>
    <w:qFormat/>
    <w:pPr>
      <w:spacing w:beforeLines="0" w:before="0" w:afterLines="0" w:after="0"/>
    </w:pPr>
    <w:rPr>
      <w:rFonts w:ascii="宋体" w:eastAsia="宋体"/>
    </w:r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列项——（一级）"/>
    <w:qFormat/>
    <w:pPr>
      <w:widowControl w:val="0"/>
      <w:numPr>
        <w:numId w:val="2"/>
      </w:numPr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4"/>
    <w:next w:val="a4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-1">
    <w:name w:val="正文-公1"/>
    <w:basedOn w:val="10"/>
    <w:next w:val="a8"/>
    <w:qFormat/>
    <w:pPr>
      <w:ind w:firstLineChars="200" w:firstLine="200"/>
    </w:pPr>
    <w:rPr>
      <w:szCs w:val="21"/>
    </w:rPr>
  </w:style>
  <w:style w:type="paragraph" w:customStyle="1" w:styleId="10">
    <w:name w:val="正文1"/>
    <w:next w:val="-1"/>
    <w:qFormat/>
    <w:pPr>
      <w:jc w:val="both"/>
    </w:pPr>
    <w:rPr>
      <w:rFonts w:ascii="Calibri" w:hAnsi="Calibri" w:cs="黑体"/>
      <w:sz w:val="21"/>
      <w:szCs w:val="22"/>
    </w:rPr>
  </w:style>
  <w:style w:type="paragraph" w:styleId="a8">
    <w:name w:val="header"/>
    <w:basedOn w:val="a4"/>
    <w:next w:val="a4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9">
    <w:name w:val="footer"/>
    <w:basedOn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4"/>
    <w:qFormat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6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5"/>
    <w:qFormat/>
    <w:rPr>
      <w:i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e">
    <w:name w:val="二级无"/>
    <w:basedOn w:val="a1"/>
    <w:qFormat/>
    <w:pPr>
      <w:spacing w:beforeLines="0" w:before="0" w:afterLines="0" w:after="0"/>
    </w:pPr>
    <w:rPr>
      <w:rFonts w:ascii="宋体" w:eastAsia="宋体"/>
    </w:rPr>
  </w:style>
  <w:style w:type="paragraph" w:customStyle="1" w:styleId="af">
    <w:name w:val="三级无"/>
    <w:basedOn w:val="a2"/>
    <w:qFormat/>
    <w:pPr>
      <w:spacing w:beforeLines="0" w:before="0" w:afterLines="0" w:after="0"/>
    </w:pPr>
    <w:rPr>
      <w:rFonts w:ascii="宋体" w:eastAsia="宋体"/>
    </w:r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列项——（一级）"/>
    <w:qFormat/>
    <w:pPr>
      <w:widowControl w:val="0"/>
      <w:numPr>
        <w:numId w:val="2"/>
      </w:numPr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2176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昨天</dc:creator>
  <cp:lastModifiedBy>何礼万</cp:lastModifiedBy>
  <cp:revision>4</cp:revision>
  <dcterms:created xsi:type="dcterms:W3CDTF">2022-02-24T01:59:00Z</dcterms:created>
  <dcterms:modified xsi:type="dcterms:W3CDTF">2022-04-15T03:45:00Z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9CEF44FDA9C74CDEAA01E0FB75020CD2</vt:lpwstr>
  </property>
</Properties>
</file>